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5A7C" w14:textId="77777777" w:rsidR="003A6AF9" w:rsidRPr="00215715" w:rsidRDefault="007D12C4" w:rsidP="00106ED7">
      <w:pPr>
        <w:jc w:val="center"/>
        <w:rPr>
          <w:lang w:val="sr-Latn-RS"/>
        </w:rPr>
      </w:pPr>
      <w:r w:rsidRPr="00215715">
        <w:rPr>
          <w:noProof/>
          <w:lang w:val="sr-Latn-RS" w:eastAsia="en-GB"/>
        </w:rPr>
        <w:drawing>
          <wp:inline distT="0" distB="0" distL="0" distR="0" wp14:anchorId="2D24F1F6" wp14:editId="7D632735">
            <wp:extent cx="4989206" cy="1719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925" cy="172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2B3A" w14:textId="77777777" w:rsidR="00AF43A7" w:rsidRPr="00215715" w:rsidRDefault="00AF43A7" w:rsidP="00D8541F">
      <w:pPr>
        <w:rPr>
          <w:lang w:val="sr-Latn-RS"/>
        </w:rPr>
      </w:pPr>
    </w:p>
    <w:p w14:paraId="078A245E" w14:textId="77777777" w:rsidR="00AF43A7" w:rsidRPr="00215715" w:rsidRDefault="00AF43A7" w:rsidP="00D8541F">
      <w:pPr>
        <w:rPr>
          <w:lang w:val="sr-Latn-RS"/>
        </w:rPr>
      </w:pPr>
    </w:p>
    <w:p w14:paraId="59A1EAE3" w14:textId="77777777" w:rsidR="003E6448" w:rsidRPr="00215715" w:rsidRDefault="003E6448" w:rsidP="00D8541F">
      <w:pPr>
        <w:rPr>
          <w:lang w:val="sr-Latn-RS"/>
        </w:rPr>
      </w:pPr>
    </w:p>
    <w:p w14:paraId="33BCDDE8" w14:textId="77777777" w:rsidR="003E6448" w:rsidRPr="00215715" w:rsidRDefault="003E6448" w:rsidP="00D8541F">
      <w:pPr>
        <w:rPr>
          <w:lang w:val="sr-Latn-RS"/>
        </w:rPr>
      </w:pPr>
    </w:p>
    <w:p w14:paraId="6F99E625" w14:textId="77777777" w:rsidR="003E6448" w:rsidRPr="00215715" w:rsidRDefault="003E6448" w:rsidP="00D8541F">
      <w:pPr>
        <w:rPr>
          <w:lang w:val="sr-Latn-RS"/>
        </w:rPr>
      </w:pPr>
    </w:p>
    <w:p w14:paraId="7E1F039D" w14:textId="2A301247" w:rsidR="00242A86" w:rsidRPr="00215715" w:rsidRDefault="009623A9" w:rsidP="002C7787">
      <w:pPr>
        <w:pStyle w:val="Title"/>
        <w:jc w:val="center"/>
        <w:rPr>
          <w:rFonts w:eastAsia="Times New Roman"/>
          <w:b/>
          <w:sz w:val="72"/>
          <w:szCs w:val="72"/>
          <w:lang w:val="sr-Latn-RS"/>
        </w:rPr>
      </w:pPr>
      <w:r w:rsidRPr="00215715">
        <w:rPr>
          <w:b/>
          <w:sz w:val="72"/>
          <w:szCs w:val="72"/>
          <w:lang w:val="sr-Latn-RS"/>
        </w:rPr>
        <w:t xml:space="preserve">Lecture for students: Pain mangement program in </w:t>
      </w:r>
      <w:r w:rsidRPr="00215715">
        <w:rPr>
          <w:rFonts w:cs="Times New Roman"/>
          <w:b/>
          <w:sz w:val="72"/>
          <w:szCs w:val="72"/>
          <w:lang w:val="sr-Latn-RS"/>
        </w:rPr>
        <w:t xml:space="preserve">Faculty of Medical Sciences Kragujevac; </w:t>
      </w:r>
      <w:r w:rsidR="00A32612" w:rsidRPr="00215715">
        <w:rPr>
          <w:rFonts w:cs="Times New Roman"/>
          <w:b/>
          <w:sz w:val="72"/>
          <w:szCs w:val="72"/>
          <w:lang w:val="sr-Latn-RS"/>
        </w:rPr>
        <w:t>Acute</w:t>
      </w:r>
      <w:r w:rsidRPr="00215715">
        <w:rPr>
          <w:rFonts w:cs="Times New Roman"/>
          <w:b/>
          <w:sz w:val="72"/>
          <w:szCs w:val="72"/>
          <w:lang w:val="sr-Latn-RS"/>
        </w:rPr>
        <w:t xml:space="preserve"> pain</w:t>
      </w:r>
      <w:r w:rsidR="00A32612" w:rsidRPr="00215715">
        <w:rPr>
          <w:rFonts w:cs="Times New Roman"/>
          <w:b/>
          <w:sz w:val="72"/>
          <w:szCs w:val="72"/>
          <w:lang w:val="sr-Latn-RS"/>
        </w:rPr>
        <w:t xml:space="preserve"> and</w:t>
      </w:r>
      <w:r w:rsidRPr="00215715">
        <w:rPr>
          <w:rFonts w:cs="Times New Roman"/>
          <w:b/>
          <w:sz w:val="72"/>
          <w:szCs w:val="72"/>
          <w:lang w:val="sr-Latn-RS"/>
        </w:rPr>
        <w:t xml:space="preserve"> multimodal analgesia</w:t>
      </w:r>
      <w:r w:rsidR="00FB1EC3" w:rsidRPr="00215715">
        <w:rPr>
          <w:rFonts w:eastAsia="Times New Roman"/>
          <w:b/>
          <w:sz w:val="72"/>
          <w:szCs w:val="72"/>
          <w:lang w:val="sr-Latn-RS"/>
        </w:rPr>
        <w:t xml:space="preserve"> </w:t>
      </w:r>
    </w:p>
    <w:p w14:paraId="06DA86B7" w14:textId="77777777" w:rsidR="00FB1EC3" w:rsidRPr="00215715" w:rsidRDefault="00FB1EC3" w:rsidP="00FB1EC3">
      <w:pPr>
        <w:rPr>
          <w:lang w:val="sr-Latn-RS"/>
        </w:rPr>
      </w:pPr>
    </w:p>
    <w:p w14:paraId="086EC485" w14:textId="77777777" w:rsidR="007D12C4" w:rsidRPr="00215715" w:rsidRDefault="007D12C4" w:rsidP="00D8541F">
      <w:pPr>
        <w:rPr>
          <w:lang w:val="sr-Latn-RS"/>
        </w:rPr>
      </w:pPr>
    </w:p>
    <w:p w14:paraId="1C75D1F9" w14:textId="77777777" w:rsidR="007D12C4" w:rsidRPr="00215715" w:rsidRDefault="007D12C4" w:rsidP="00D8541F">
      <w:pPr>
        <w:rPr>
          <w:lang w:val="sr-Latn-RS"/>
        </w:rPr>
      </w:pPr>
    </w:p>
    <w:p w14:paraId="6F050503" w14:textId="77777777" w:rsidR="007D12C4" w:rsidRPr="00215715" w:rsidRDefault="007D12C4" w:rsidP="00D8541F">
      <w:pPr>
        <w:rPr>
          <w:lang w:val="sr-Latn-RS"/>
        </w:rPr>
      </w:pPr>
    </w:p>
    <w:p w14:paraId="2E9E2FD7" w14:textId="77777777" w:rsidR="007D12C4" w:rsidRPr="00215715" w:rsidRDefault="007D12C4" w:rsidP="00D8541F">
      <w:pPr>
        <w:rPr>
          <w:lang w:val="sr-Latn-RS"/>
        </w:rPr>
      </w:pPr>
    </w:p>
    <w:p w14:paraId="059E0661" w14:textId="77777777" w:rsidR="007D12C4" w:rsidRPr="00215715" w:rsidRDefault="007D12C4" w:rsidP="00D8541F">
      <w:pPr>
        <w:rPr>
          <w:lang w:val="sr-Latn-RS"/>
        </w:rPr>
      </w:pPr>
    </w:p>
    <w:p w14:paraId="1A675E5A" w14:textId="77777777" w:rsidR="007D12C4" w:rsidRPr="00215715" w:rsidRDefault="007D12C4" w:rsidP="00D8541F">
      <w:pPr>
        <w:rPr>
          <w:lang w:val="sr-Latn-RS"/>
        </w:rPr>
      </w:pPr>
      <w:r w:rsidRPr="00215715">
        <w:rPr>
          <w:lang w:val="sr-Latn-RS"/>
        </w:rPr>
        <w:br w:type="page"/>
      </w:r>
    </w:p>
    <w:p w14:paraId="0A9B757F" w14:textId="77777777" w:rsidR="003E6448" w:rsidRPr="00215715" w:rsidRDefault="003E6448">
      <w:pPr>
        <w:spacing w:line="240" w:lineRule="auto"/>
        <w:jc w:val="left"/>
        <w:rPr>
          <w:lang w:val="sr-Latn-RS"/>
        </w:rPr>
      </w:pPr>
      <w:r w:rsidRPr="00215715">
        <w:rPr>
          <w:lang w:val="sr-Latn-RS"/>
        </w:rPr>
        <w:lastRenderedPageBreak/>
        <w:br w:type="page"/>
      </w:r>
    </w:p>
    <w:p w14:paraId="08F7319A" w14:textId="77777777" w:rsidR="007D12C4" w:rsidRPr="00215715" w:rsidRDefault="007D12C4" w:rsidP="00D8541F">
      <w:pPr>
        <w:rPr>
          <w:lang w:val="sr-Latn-RS"/>
        </w:rPr>
      </w:pPr>
    </w:p>
    <w:p w14:paraId="0E3697B9" w14:textId="77777777" w:rsidR="0032106E" w:rsidRPr="00215715" w:rsidRDefault="0032106E" w:rsidP="00D8541F">
      <w:pPr>
        <w:rPr>
          <w:lang w:val="sr-Latn-R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05"/>
        <w:gridCol w:w="6384"/>
      </w:tblGrid>
      <w:tr w:rsidR="00FC6962" w:rsidRPr="00215715" w14:paraId="37544AA2" w14:textId="77777777" w:rsidTr="007D12C4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5F673F37" w14:textId="77777777" w:rsidR="00FC6962" w:rsidRPr="00215715" w:rsidRDefault="00FC6962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Project title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16F104DD" w14:textId="77777777" w:rsidR="00FC6962" w:rsidRPr="00215715" w:rsidRDefault="00DF0965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rStyle w:val="SelPlus"/>
                <w:rFonts w:ascii="Book Antiqua" w:hAnsi="Book Antiqua"/>
                <w:b w:val="0"/>
                <w:sz w:val="22"/>
                <w:szCs w:val="24"/>
                <w:lang w:val="sr-Latn-RS"/>
              </w:rPr>
              <w:t>Strengthening Capacities for Higher Education of Pain Medicine in Western Balkan countries</w:t>
            </w:r>
          </w:p>
        </w:tc>
      </w:tr>
      <w:tr w:rsidR="00FC6962" w:rsidRPr="00215715" w14:paraId="3B6C4D97" w14:textId="77777777" w:rsidTr="007D12C4">
        <w:trPr>
          <w:trHeight w:val="491"/>
        </w:trPr>
        <w:tc>
          <w:tcPr>
            <w:tcW w:w="3023" w:type="dxa"/>
            <w:shd w:val="clear" w:color="auto" w:fill="auto"/>
            <w:vAlign w:val="center"/>
          </w:tcPr>
          <w:p w14:paraId="37BFF31B" w14:textId="77777777" w:rsidR="00FC6962" w:rsidRPr="00215715" w:rsidRDefault="00FC6962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Project acronym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59DE2CDF" w14:textId="77777777" w:rsidR="00FC6962" w:rsidRPr="00215715" w:rsidRDefault="00DF0965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HEPMP</w:t>
            </w:r>
          </w:p>
        </w:tc>
      </w:tr>
      <w:tr w:rsidR="00FC6962" w:rsidRPr="00215715" w14:paraId="6E501253" w14:textId="77777777" w:rsidTr="007D12C4">
        <w:trPr>
          <w:trHeight w:val="453"/>
        </w:trPr>
        <w:tc>
          <w:tcPr>
            <w:tcW w:w="3023" w:type="dxa"/>
            <w:shd w:val="clear" w:color="auto" w:fill="auto"/>
            <w:vAlign w:val="center"/>
          </w:tcPr>
          <w:p w14:paraId="44E966E2" w14:textId="77777777" w:rsidR="00FC6962" w:rsidRPr="00215715" w:rsidRDefault="00FC6962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Project reference number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491CBB73" w14:textId="77777777" w:rsidR="00FC6962" w:rsidRPr="00215715" w:rsidRDefault="00DF0965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shd w:val="clear" w:color="auto" w:fill="FFFFFF"/>
                <w:lang w:val="sr-Latn-RS"/>
              </w:rPr>
              <w:t>585927-EPP-1-2017-1-RS-EPPKA2-CBHE-JP</w:t>
            </w:r>
          </w:p>
        </w:tc>
      </w:tr>
      <w:tr w:rsidR="00FC6962" w:rsidRPr="00215715" w14:paraId="1322F7AB" w14:textId="77777777" w:rsidTr="007D12C4">
        <w:trPr>
          <w:trHeight w:val="491"/>
        </w:trPr>
        <w:tc>
          <w:tcPr>
            <w:tcW w:w="3023" w:type="dxa"/>
            <w:shd w:val="clear" w:color="auto" w:fill="auto"/>
            <w:vAlign w:val="center"/>
          </w:tcPr>
          <w:p w14:paraId="10DBFB68" w14:textId="77777777" w:rsidR="00FC6962" w:rsidRPr="00215715" w:rsidRDefault="00FC6962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Coordinator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624884FE" w14:textId="77777777" w:rsidR="00FC6962" w:rsidRPr="00215715" w:rsidRDefault="00FC6962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 xml:space="preserve">University of </w:t>
            </w:r>
            <w:r w:rsidR="00894C80" w:rsidRPr="00215715">
              <w:rPr>
                <w:sz w:val="22"/>
                <w:lang w:val="sr-Latn-RS"/>
              </w:rPr>
              <w:t>Belgrade</w:t>
            </w:r>
          </w:p>
        </w:tc>
      </w:tr>
      <w:tr w:rsidR="00FC6962" w:rsidRPr="00215715" w14:paraId="45F00F4F" w14:textId="77777777" w:rsidTr="007D12C4">
        <w:trPr>
          <w:trHeight w:val="453"/>
        </w:trPr>
        <w:tc>
          <w:tcPr>
            <w:tcW w:w="3023" w:type="dxa"/>
            <w:shd w:val="clear" w:color="auto" w:fill="auto"/>
            <w:vAlign w:val="center"/>
          </w:tcPr>
          <w:p w14:paraId="3F84041B" w14:textId="77777777" w:rsidR="00FC6962" w:rsidRPr="00215715" w:rsidRDefault="00FC6962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Project start date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469E675C" w14:textId="77777777" w:rsidR="00FC6962" w:rsidRPr="00215715" w:rsidRDefault="00FC6962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October 15, 201</w:t>
            </w:r>
            <w:r w:rsidR="00DF0965" w:rsidRPr="00215715">
              <w:rPr>
                <w:sz w:val="22"/>
                <w:lang w:val="sr-Latn-RS"/>
              </w:rPr>
              <w:t>7</w:t>
            </w:r>
          </w:p>
        </w:tc>
      </w:tr>
      <w:tr w:rsidR="00FC6962" w:rsidRPr="00215715" w14:paraId="52673DBF" w14:textId="77777777" w:rsidTr="007D12C4">
        <w:trPr>
          <w:trHeight w:val="491"/>
        </w:trPr>
        <w:tc>
          <w:tcPr>
            <w:tcW w:w="3023" w:type="dxa"/>
            <w:shd w:val="clear" w:color="auto" w:fill="auto"/>
            <w:vAlign w:val="center"/>
          </w:tcPr>
          <w:p w14:paraId="25883034" w14:textId="77777777" w:rsidR="00FC6962" w:rsidRPr="00215715" w:rsidRDefault="00FC6962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Project duration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74AE00F2" w14:textId="77777777" w:rsidR="00FC6962" w:rsidRPr="00215715" w:rsidRDefault="00FC6962" w:rsidP="00D8541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36 months</w:t>
            </w:r>
          </w:p>
        </w:tc>
      </w:tr>
    </w:tbl>
    <w:p w14:paraId="5DB8AFB6" w14:textId="77777777" w:rsidR="0032106E" w:rsidRPr="00215715" w:rsidRDefault="0032106E" w:rsidP="00D8541F">
      <w:pPr>
        <w:rPr>
          <w:lang w:val="sr-Latn-RS"/>
        </w:rPr>
      </w:pPr>
    </w:p>
    <w:p w14:paraId="1139C577" w14:textId="77777777" w:rsidR="003205AC" w:rsidRPr="00215715" w:rsidRDefault="003205AC" w:rsidP="00D8541F">
      <w:pPr>
        <w:rPr>
          <w:lang w:val="sr-Latn-R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64"/>
        <w:gridCol w:w="6125"/>
      </w:tblGrid>
      <w:tr w:rsidR="00AF4B3F" w:rsidRPr="00215715" w14:paraId="6AAD8477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705932BB" w14:textId="006040F1" w:rsidR="00AF4B3F" w:rsidRPr="00215715" w:rsidRDefault="00AF4B3F" w:rsidP="00AF4B3F">
            <w:pPr>
              <w:pStyle w:val="NoSpacing"/>
              <w:jc w:val="left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Event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8FC1B3C" w14:textId="716B567C" w:rsidR="00AF4B3F" w:rsidRPr="00215715" w:rsidRDefault="00667A23" w:rsidP="000D07F9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 xml:space="preserve">Lecture for students: Pain mangement program in </w:t>
            </w:r>
            <w:r w:rsidRPr="00215715">
              <w:rPr>
                <w:rFonts w:cs="Times New Roman"/>
                <w:sz w:val="22"/>
                <w:lang w:val="sr-Latn-RS"/>
              </w:rPr>
              <w:t xml:space="preserve">Faculty of Medical Sciences Kragujevac; </w:t>
            </w:r>
            <w:r w:rsidR="0036112D" w:rsidRPr="00215715">
              <w:rPr>
                <w:rFonts w:cs="Times New Roman"/>
                <w:sz w:val="22"/>
                <w:lang w:val="sr-Latn-RS"/>
              </w:rPr>
              <w:t xml:space="preserve">Acute </w:t>
            </w:r>
            <w:r w:rsidR="000D07F9" w:rsidRPr="00215715">
              <w:rPr>
                <w:rFonts w:cs="Times New Roman"/>
                <w:sz w:val="22"/>
                <w:lang w:val="sr-Latn-RS"/>
              </w:rPr>
              <w:t xml:space="preserve">pain and </w:t>
            </w:r>
            <w:r w:rsidRPr="00215715">
              <w:rPr>
                <w:rFonts w:cs="Times New Roman"/>
                <w:sz w:val="22"/>
                <w:lang w:val="sr-Latn-RS"/>
              </w:rPr>
              <w:t>multimodal analgesia</w:t>
            </w:r>
            <w:r w:rsidR="00797DB2" w:rsidRPr="00215715">
              <w:rPr>
                <w:sz w:val="22"/>
                <w:lang w:val="sr-Latn-RS"/>
              </w:rPr>
              <w:t>, Exercises</w:t>
            </w:r>
          </w:p>
        </w:tc>
      </w:tr>
      <w:tr w:rsidR="00AF4B3F" w:rsidRPr="00215715" w14:paraId="322AF853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1DBFC7DD" w14:textId="07A7FC6D" w:rsidR="00AF4B3F" w:rsidRPr="00215715" w:rsidRDefault="00AF4B3F" w:rsidP="00AF4B3F">
            <w:pPr>
              <w:pStyle w:val="NoSpacing"/>
              <w:jc w:val="left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Type of event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61631BB6" w14:textId="181CB6C5" w:rsidR="00AF4B3F" w:rsidRPr="00215715" w:rsidRDefault="00797DB2" w:rsidP="00AF4B3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WP2 (Development of joint curricula for PM study program); 2.5. Study program implemented</w:t>
            </w:r>
          </w:p>
        </w:tc>
      </w:tr>
      <w:tr w:rsidR="00AF4B3F" w:rsidRPr="00215715" w14:paraId="15291C89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7C92496D" w14:textId="528B8EC8" w:rsidR="00AF4B3F" w:rsidRPr="00215715" w:rsidRDefault="00AF4B3F" w:rsidP="00AF4B3F">
            <w:pPr>
              <w:pStyle w:val="NoSpacing"/>
              <w:jc w:val="left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Venue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317DA94" w14:textId="4B74E8D3" w:rsidR="00AF4B3F" w:rsidRPr="00215715" w:rsidRDefault="00797DB2" w:rsidP="00AF4B3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Clinical Center “Kragujevac”, Kragujevac, Serbia</w:t>
            </w:r>
          </w:p>
        </w:tc>
      </w:tr>
      <w:tr w:rsidR="00AF4B3F" w:rsidRPr="00215715" w14:paraId="3413E4F5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65387328" w14:textId="4EF164D0" w:rsidR="00AF4B3F" w:rsidRPr="00215715" w:rsidRDefault="00AF4B3F" w:rsidP="00AF4B3F">
            <w:pPr>
              <w:pStyle w:val="NoSpacing"/>
              <w:jc w:val="left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Date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1A6B8FF" w14:textId="4AB2EE3E" w:rsidR="00AF4B3F" w:rsidRPr="00215715" w:rsidRDefault="007C0DA4" w:rsidP="00AF4B3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10.12.2018.</w:t>
            </w:r>
          </w:p>
        </w:tc>
      </w:tr>
      <w:tr w:rsidR="00AF4B3F" w:rsidRPr="00215715" w14:paraId="67E577BB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35854E83" w14:textId="39A74CE0" w:rsidR="00AF4B3F" w:rsidRPr="00215715" w:rsidRDefault="00AF4B3F" w:rsidP="00AF4B3F">
            <w:pPr>
              <w:pStyle w:val="NoSpacing"/>
              <w:jc w:val="left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Organizer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621C092" w14:textId="4EFF4781" w:rsidR="00AF4B3F" w:rsidRPr="00215715" w:rsidRDefault="00797DB2" w:rsidP="00AF4B3F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Desk of surger</w:t>
            </w:r>
            <w:r w:rsidR="006B00C7" w:rsidRPr="00215715">
              <w:rPr>
                <w:sz w:val="22"/>
                <w:lang w:val="sr-Latn-RS"/>
              </w:rPr>
              <w:t xml:space="preserve">y, </w:t>
            </w:r>
            <w:r w:rsidR="006B00C7" w:rsidRPr="00215715">
              <w:rPr>
                <w:rFonts w:cs="Times New Roman"/>
                <w:sz w:val="22"/>
                <w:lang w:val="sr-Latn-RS"/>
              </w:rPr>
              <w:t>Faculty of Medical Sciences,  University of Kragujevac</w:t>
            </w:r>
          </w:p>
        </w:tc>
      </w:tr>
      <w:tr w:rsidR="00AF4B3F" w:rsidRPr="00215715" w14:paraId="6E96417A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692F20D7" w14:textId="623CF7ED" w:rsidR="00AF4B3F" w:rsidRPr="00215715" w:rsidRDefault="00AF4B3F" w:rsidP="00AF4B3F">
            <w:pPr>
              <w:pStyle w:val="NoSpacing"/>
              <w:jc w:val="left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Reporting date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00BC520" w14:textId="745B5EB5" w:rsidR="00AF4B3F" w:rsidRPr="00215715" w:rsidRDefault="00797DB2" w:rsidP="00797DB2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2019</w:t>
            </w:r>
          </w:p>
        </w:tc>
      </w:tr>
      <w:tr w:rsidR="00AF4B3F" w:rsidRPr="00215715" w14:paraId="3693319A" w14:textId="77777777" w:rsidTr="00AF4B3F">
        <w:trPr>
          <w:trHeight w:val="471"/>
        </w:trPr>
        <w:tc>
          <w:tcPr>
            <w:tcW w:w="3164" w:type="dxa"/>
            <w:shd w:val="clear" w:color="auto" w:fill="auto"/>
            <w:vAlign w:val="center"/>
          </w:tcPr>
          <w:p w14:paraId="155AD1E5" w14:textId="58003509" w:rsidR="00AF4B3F" w:rsidRPr="00215715" w:rsidRDefault="00AF4B3F" w:rsidP="00AF4B3F">
            <w:pPr>
              <w:pStyle w:val="NoSpacing"/>
              <w:jc w:val="left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Report author(s)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5832F94F" w14:textId="3B1DE4F9" w:rsidR="00AF4B3F" w:rsidRPr="00215715" w:rsidRDefault="00797DB2" w:rsidP="00797DB2">
            <w:pPr>
              <w:pStyle w:val="NoSpacing"/>
              <w:rPr>
                <w:sz w:val="22"/>
                <w:lang w:val="sr-Latn-RS"/>
              </w:rPr>
            </w:pPr>
            <w:r w:rsidRPr="00215715">
              <w:rPr>
                <w:sz w:val="22"/>
                <w:lang w:val="sr-Latn-RS"/>
              </w:rPr>
              <w:t>Jasna Jevdjic</w:t>
            </w:r>
          </w:p>
        </w:tc>
      </w:tr>
    </w:tbl>
    <w:p w14:paraId="47E2BBFC" w14:textId="77777777" w:rsidR="003205AC" w:rsidRPr="00215715" w:rsidRDefault="003205AC" w:rsidP="00D8541F">
      <w:pPr>
        <w:rPr>
          <w:lang w:val="sr-Latn-RS"/>
        </w:rPr>
      </w:pPr>
    </w:p>
    <w:p w14:paraId="6052809F" w14:textId="77777777" w:rsidR="00242A86" w:rsidRPr="00215715" w:rsidRDefault="00242A86" w:rsidP="00D8541F">
      <w:pPr>
        <w:rPr>
          <w:lang w:val="sr-Latn-RS"/>
        </w:rPr>
      </w:pPr>
    </w:p>
    <w:p w14:paraId="581D37F1" w14:textId="77777777" w:rsidR="00242A86" w:rsidRPr="00215715" w:rsidRDefault="00242A86" w:rsidP="00D8541F">
      <w:pPr>
        <w:rPr>
          <w:lang w:val="sr-Latn-RS"/>
        </w:rPr>
      </w:pPr>
    </w:p>
    <w:p w14:paraId="73F7ECC4" w14:textId="77777777" w:rsidR="00FB1EC3" w:rsidRPr="00215715" w:rsidRDefault="00FB1EC3" w:rsidP="00D8541F">
      <w:pPr>
        <w:rPr>
          <w:lang w:val="sr-Latn-RS"/>
        </w:rPr>
      </w:pPr>
    </w:p>
    <w:p w14:paraId="094321B4" w14:textId="77777777" w:rsidR="00FB1EC3" w:rsidRPr="00215715" w:rsidRDefault="00FB1EC3" w:rsidP="00D8541F">
      <w:pPr>
        <w:rPr>
          <w:lang w:val="sr-Latn-RS"/>
        </w:rPr>
      </w:pPr>
    </w:p>
    <w:p w14:paraId="6F70ABA9" w14:textId="77777777" w:rsidR="00FB1EC3" w:rsidRPr="00215715" w:rsidRDefault="00FB1EC3" w:rsidP="00D8541F">
      <w:pPr>
        <w:rPr>
          <w:lang w:val="sr-Latn-R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5"/>
      </w:tblGrid>
      <w:tr w:rsidR="00D8541F" w:rsidRPr="00215715" w14:paraId="6076FAFD" w14:textId="77777777" w:rsidTr="00D8541F">
        <w:trPr>
          <w:trHeight w:val="1462"/>
        </w:trPr>
        <w:tc>
          <w:tcPr>
            <w:tcW w:w="9255" w:type="dxa"/>
            <w:shd w:val="clear" w:color="auto" w:fill="auto"/>
            <w:vAlign w:val="center"/>
          </w:tcPr>
          <w:p w14:paraId="50767837" w14:textId="77777777" w:rsidR="00D8541F" w:rsidRPr="00215715" w:rsidRDefault="00D8541F" w:rsidP="00D8541F">
            <w:pPr>
              <w:pStyle w:val="NoSpacing"/>
              <w:spacing w:line="276" w:lineRule="auto"/>
              <w:jc w:val="center"/>
              <w:rPr>
                <w:shd w:val="clear" w:color="auto" w:fill="FFFFFF"/>
                <w:lang w:val="sr-Latn-RS"/>
              </w:rPr>
            </w:pPr>
          </w:p>
          <w:p w14:paraId="6BEEBFB4" w14:textId="77777777" w:rsidR="00D8541F" w:rsidRPr="00215715" w:rsidRDefault="00D8541F" w:rsidP="00D8541F">
            <w:pPr>
              <w:pStyle w:val="NoSpacing"/>
              <w:spacing w:line="276" w:lineRule="auto"/>
              <w:jc w:val="center"/>
              <w:rPr>
                <w:shd w:val="clear" w:color="auto" w:fill="FFFFFF"/>
                <w:lang w:val="sr-Latn-RS"/>
              </w:rPr>
            </w:pPr>
            <w:r w:rsidRPr="00215715">
              <w:rPr>
                <w:shd w:val="clear" w:color="auto" w:fill="FFFFFF"/>
                <w:lang w:val="sr-Latn-RS"/>
              </w:rPr>
              <w:t>Project number: 585927-EPP-1-2017-1-RS-EPPKA2-CBHE-JP (2017 – 3109 / 001 – 001)</w:t>
            </w:r>
          </w:p>
          <w:p w14:paraId="413D418B" w14:textId="77777777" w:rsidR="00D8541F" w:rsidRPr="00215715" w:rsidRDefault="00D8541F" w:rsidP="00D8541F">
            <w:pPr>
              <w:pStyle w:val="NoSpacing"/>
              <w:spacing w:line="276" w:lineRule="auto"/>
              <w:jc w:val="center"/>
              <w:rPr>
                <w:lang w:val="sr-Latn-RS"/>
              </w:rPr>
            </w:pPr>
          </w:p>
          <w:p w14:paraId="660853BA" w14:textId="77777777" w:rsidR="00D8541F" w:rsidRPr="00215715" w:rsidRDefault="00D8541F" w:rsidP="00D8541F">
            <w:pPr>
              <w:pStyle w:val="NoSpacing"/>
              <w:spacing w:line="276" w:lineRule="auto"/>
              <w:jc w:val="center"/>
              <w:rPr>
                <w:lang w:val="sr-Latn-RS"/>
              </w:rPr>
            </w:pPr>
            <w:r w:rsidRPr="00215715">
              <w:rPr>
                <w:lang w:val="sr-Latn-RS"/>
              </w:rPr>
              <w:t>This project has been funded with support from the European Commission.</w:t>
            </w:r>
          </w:p>
          <w:p w14:paraId="6880E56D" w14:textId="77777777" w:rsidR="00D8541F" w:rsidRPr="00215715" w:rsidRDefault="00D8541F" w:rsidP="00D8541F">
            <w:pPr>
              <w:pStyle w:val="NoSpacing"/>
              <w:spacing w:line="276" w:lineRule="auto"/>
              <w:jc w:val="center"/>
              <w:rPr>
                <w:lang w:val="sr-Latn-RS"/>
              </w:rPr>
            </w:pPr>
            <w:r w:rsidRPr="00215715">
              <w:rPr>
                <w:lang w:val="sr-Latn-RS"/>
              </w:rPr>
              <w:t>This publication [communication] reflects the views only of the author, and the Commission cannot be held responsible for any use which ma y be made of the information contained therein.</w:t>
            </w:r>
          </w:p>
          <w:p w14:paraId="33EE8527" w14:textId="77777777" w:rsidR="00D8541F" w:rsidRPr="00215715" w:rsidRDefault="00D8541F" w:rsidP="00D8541F">
            <w:pPr>
              <w:pStyle w:val="NoSpacing"/>
              <w:spacing w:line="276" w:lineRule="auto"/>
              <w:jc w:val="center"/>
              <w:rPr>
                <w:lang w:val="sr-Latn-RS"/>
              </w:rPr>
            </w:pPr>
          </w:p>
        </w:tc>
      </w:tr>
    </w:tbl>
    <w:p w14:paraId="076FBBC4" w14:textId="7F60A99A" w:rsidR="00AF4B3F" w:rsidRPr="00215715" w:rsidRDefault="00AF4B3F" w:rsidP="00034400">
      <w:pPr>
        <w:spacing w:line="240" w:lineRule="auto"/>
        <w:jc w:val="center"/>
        <w:rPr>
          <w:lang w:val="sr-Latn-RS"/>
        </w:rPr>
      </w:pPr>
      <w:r w:rsidRPr="00215715">
        <w:rPr>
          <w:sz w:val="56"/>
          <w:lang w:val="sr-Latn-RS"/>
        </w:rPr>
        <w:lastRenderedPageBreak/>
        <w:t>EVENT DESCRIPTION</w:t>
      </w:r>
    </w:p>
    <w:p w14:paraId="64830293" w14:textId="77777777" w:rsidR="00AF4B3F" w:rsidRPr="00215715" w:rsidRDefault="00AF4B3F" w:rsidP="00AF4B3F">
      <w:pPr>
        <w:jc w:val="center"/>
        <w:rPr>
          <w:rFonts w:eastAsia="HG Mincho Light J" w:cs="Arial Unicode MS"/>
          <w:b/>
          <w:bCs/>
          <w:color w:val="419283"/>
          <w:sz w:val="32"/>
          <w:szCs w:val="28"/>
          <w:lang w:val="sr-Latn-RS" w:bidi="he-IL"/>
        </w:rPr>
      </w:pPr>
      <w:r w:rsidRPr="00215715">
        <w:rPr>
          <w:lang w:val="sr-Latn-RS"/>
        </w:rPr>
        <w:t>with special reference to goals and outcomes</w:t>
      </w:r>
    </w:p>
    <w:p w14:paraId="3E2E2746" w14:textId="77777777" w:rsidR="002D3908" w:rsidRPr="00215715" w:rsidRDefault="002D3908" w:rsidP="002D3908">
      <w:pPr>
        <w:spacing w:after="120" w:line="360" w:lineRule="auto"/>
        <w:rPr>
          <w:rFonts w:cs="DejaVuSans-Bold"/>
          <w:b/>
          <w:bCs/>
          <w:sz w:val="28"/>
          <w:szCs w:val="24"/>
          <w:lang w:val="sr-Latn-RS"/>
        </w:rPr>
      </w:pPr>
    </w:p>
    <w:p w14:paraId="0714A170" w14:textId="77777777" w:rsidR="002D3908" w:rsidRPr="00215715" w:rsidRDefault="002D3908" w:rsidP="002D3908">
      <w:pPr>
        <w:spacing w:after="120" w:line="360" w:lineRule="auto"/>
        <w:rPr>
          <w:sz w:val="28"/>
          <w:szCs w:val="24"/>
          <w:lang w:val="sr-Latn-RS"/>
        </w:rPr>
      </w:pPr>
      <w:r w:rsidRPr="00215715">
        <w:rPr>
          <w:rFonts w:cs="DejaVuSans-Bold"/>
          <w:b/>
          <w:bCs/>
          <w:sz w:val="28"/>
          <w:szCs w:val="24"/>
          <w:lang w:val="sr-Latn-RS"/>
        </w:rPr>
        <w:t>Objective</w:t>
      </w:r>
    </w:p>
    <w:p w14:paraId="33F85A79" w14:textId="67F2F415" w:rsidR="002F11D8" w:rsidRPr="00215715" w:rsidRDefault="00A83EFB" w:rsidP="00D74466">
      <w:pPr>
        <w:spacing w:line="360" w:lineRule="auto"/>
        <w:jc w:val="left"/>
        <w:rPr>
          <w:lang w:val="sr-Latn-RS" w:eastAsia="sl-SI"/>
        </w:rPr>
      </w:pPr>
      <w:r w:rsidRPr="00215715">
        <w:rPr>
          <w:lang w:val="sr-Latn-RS" w:eastAsia="sl-SI"/>
        </w:rPr>
        <w:t>Za p</w:t>
      </w:r>
      <w:r w:rsidR="002D3908" w:rsidRPr="00215715">
        <w:rPr>
          <w:lang w:val="sr-Latn-RS" w:eastAsia="sl-SI"/>
        </w:rPr>
        <w:t>redavanja i vežbe</w:t>
      </w:r>
      <w:r w:rsidRPr="00215715">
        <w:rPr>
          <w:lang w:val="sr-Latn-RS" w:eastAsia="sl-SI"/>
        </w:rPr>
        <w:t xml:space="preserve"> koja su se odnosila na medicinu bola</w:t>
      </w:r>
      <w:r w:rsidR="002D3908" w:rsidRPr="00215715">
        <w:rPr>
          <w:lang w:val="sr-Latn-RS" w:eastAsia="sl-SI"/>
        </w:rPr>
        <w:t xml:space="preserve"> u okviru nastavnog predmeta Resuscitacija </w:t>
      </w:r>
      <w:r w:rsidRPr="00215715">
        <w:rPr>
          <w:lang w:val="sr-Latn-RS" w:eastAsia="sl-SI"/>
        </w:rPr>
        <w:t>2, za sudente koji su pohađali XI semestar nastave osnvnih akedmskih studija medicine, kurikulumom je bila predviđena 1</w:t>
      </w:r>
      <w:r w:rsidR="002F11D8" w:rsidRPr="00215715">
        <w:rPr>
          <w:lang w:val="sr-Latn-RS" w:eastAsia="sl-SI"/>
        </w:rPr>
        <w:t xml:space="preserve"> nastavna</w:t>
      </w:r>
      <w:r w:rsidRPr="00215715">
        <w:rPr>
          <w:lang w:val="sr-Latn-RS" w:eastAsia="sl-SI"/>
        </w:rPr>
        <w:t xml:space="preserve"> sedmica. </w:t>
      </w:r>
      <w:r w:rsidR="0015247C" w:rsidRPr="00215715">
        <w:rPr>
          <w:lang w:val="sr-Latn-RS" w:eastAsia="sl-SI"/>
        </w:rPr>
        <w:t>O</w:t>
      </w:r>
      <w:r w:rsidRPr="00215715">
        <w:rPr>
          <w:lang w:val="sr-Latn-RS" w:eastAsia="sl-SI"/>
        </w:rPr>
        <w:t>rganizovana dodatna nastava</w:t>
      </w:r>
      <w:r w:rsidR="0015247C" w:rsidRPr="00215715">
        <w:rPr>
          <w:lang w:val="sr-Latn-RS" w:eastAsia="sl-SI"/>
        </w:rPr>
        <w:t xml:space="preserve">, pri čemu su studenti </w:t>
      </w:r>
      <w:r w:rsidRPr="00215715">
        <w:rPr>
          <w:lang w:val="sr-Latn-RS" w:eastAsia="sl-SI"/>
        </w:rPr>
        <w:t>upozna</w:t>
      </w:r>
      <w:r w:rsidR="0015247C" w:rsidRPr="00215715">
        <w:rPr>
          <w:lang w:val="sr-Latn-RS" w:eastAsia="sl-SI"/>
        </w:rPr>
        <w:t>ti</w:t>
      </w:r>
      <w:r w:rsidRPr="00215715">
        <w:rPr>
          <w:lang w:val="sr-Latn-RS" w:eastAsia="sl-SI"/>
        </w:rPr>
        <w:t xml:space="preserve"> o nedovoljnoj zastupljenosti medicine bola u nastavnim programima osnovnih studija medicine i značajem uvođenja dodatnih časova edukacij</w:t>
      </w:r>
      <w:r w:rsidR="002F11D8" w:rsidRPr="00215715">
        <w:rPr>
          <w:lang w:val="sr-Latn-RS" w:eastAsia="sl-SI"/>
        </w:rPr>
        <w:t xml:space="preserve">e o bolu, </w:t>
      </w:r>
      <w:r w:rsidRPr="00215715">
        <w:rPr>
          <w:lang w:val="sr-Latn-RS" w:eastAsia="sl-SI"/>
        </w:rPr>
        <w:t>koji bi se</w:t>
      </w:r>
      <w:r w:rsidR="002F11D8" w:rsidRPr="00215715">
        <w:rPr>
          <w:lang w:val="sr-Latn-RS" w:eastAsia="sl-SI"/>
        </w:rPr>
        <w:t xml:space="preserve"> uvrstili u nastavne planove i programe. </w:t>
      </w:r>
      <w:r w:rsidR="00D40FB1" w:rsidRPr="00215715">
        <w:rPr>
          <w:lang w:val="sr-Latn-RS" w:eastAsia="sl-SI"/>
        </w:rPr>
        <w:t>Održano je predavanje o posttraumatskom bolu, ali</w:t>
      </w:r>
      <w:r w:rsidR="0015247C" w:rsidRPr="00215715">
        <w:rPr>
          <w:lang w:val="sr-Latn-RS" w:eastAsia="sl-SI"/>
        </w:rPr>
        <w:t xml:space="preserve"> po prvi put</w:t>
      </w:r>
      <w:r w:rsidR="00D40FB1" w:rsidRPr="00215715">
        <w:rPr>
          <w:lang w:val="sr-Latn-RS" w:eastAsia="sl-SI"/>
        </w:rPr>
        <w:t xml:space="preserve"> i</w:t>
      </w:r>
      <w:r w:rsidR="002F11D8" w:rsidRPr="00215715">
        <w:rPr>
          <w:lang w:val="sr-Latn-RS" w:eastAsia="sl-SI"/>
        </w:rPr>
        <w:t xml:space="preserve"> predavanje o</w:t>
      </w:r>
      <w:r w:rsidRPr="00215715">
        <w:rPr>
          <w:lang w:val="sr-Latn-RS" w:eastAsia="sl-SI"/>
        </w:rPr>
        <w:t xml:space="preserve"> nov</w:t>
      </w:r>
      <w:r w:rsidR="002F11D8" w:rsidRPr="00215715">
        <w:rPr>
          <w:lang w:val="sr-Latn-RS" w:eastAsia="sl-SI"/>
        </w:rPr>
        <w:t>oj</w:t>
      </w:r>
      <w:r w:rsidRPr="00215715">
        <w:rPr>
          <w:lang w:val="sr-Latn-RS" w:eastAsia="sl-SI"/>
        </w:rPr>
        <w:t xml:space="preserve"> tematsk</w:t>
      </w:r>
      <w:r w:rsidR="002F11D8" w:rsidRPr="00215715">
        <w:rPr>
          <w:lang w:val="sr-Latn-RS" w:eastAsia="sl-SI"/>
        </w:rPr>
        <w:t>oj</w:t>
      </w:r>
      <w:r w:rsidRPr="00215715">
        <w:rPr>
          <w:lang w:val="sr-Latn-RS" w:eastAsia="sl-SI"/>
        </w:rPr>
        <w:t xml:space="preserve"> jedinic</w:t>
      </w:r>
      <w:r w:rsidR="002F11D8" w:rsidRPr="00215715">
        <w:rPr>
          <w:lang w:val="sr-Latn-RS" w:eastAsia="sl-SI"/>
        </w:rPr>
        <w:t>i: Post-operativni bol i multimodalna analgezija.</w:t>
      </w:r>
    </w:p>
    <w:p w14:paraId="21CE1778" w14:textId="7E00DFE6" w:rsidR="002F11D8" w:rsidRPr="00215715" w:rsidRDefault="002F11D8" w:rsidP="00D74466">
      <w:pPr>
        <w:spacing w:line="360" w:lineRule="auto"/>
        <w:jc w:val="left"/>
        <w:rPr>
          <w:lang w:val="sr-Latn-RS" w:eastAsia="sl-SI"/>
        </w:rPr>
      </w:pPr>
      <w:r w:rsidRPr="00215715">
        <w:rPr>
          <w:lang w:val="sr-Latn-RS" w:eastAsia="sl-SI"/>
        </w:rPr>
        <w:t xml:space="preserve">Nakon organizacije ovog događaja u silabusu Resuscitacije 2 </w:t>
      </w:r>
      <w:r w:rsidR="00D40FB1" w:rsidRPr="00215715">
        <w:rPr>
          <w:lang w:val="sr-Latn-RS" w:eastAsia="sl-SI"/>
        </w:rPr>
        <w:t>za školsku 2019/2020 godinu</w:t>
      </w:r>
      <w:r w:rsidRPr="00215715">
        <w:rPr>
          <w:lang w:val="sr-Latn-RS" w:eastAsia="sl-SI"/>
        </w:rPr>
        <w:t xml:space="preserve"> predviđena još jedna dodatna sedmica nastave, uz već</w:t>
      </w:r>
      <w:r w:rsidR="00D40FB1" w:rsidRPr="00215715">
        <w:rPr>
          <w:lang w:val="sr-Latn-RS" w:eastAsia="sl-SI"/>
        </w:rPr>
        <w:t xml:space="preserve"> ranije</w:t>
      </w:r>
      <w:r w:rsidRPr="00215715">
        <w:rPr>
          <w:lang w:val="sr-Latn-RS" w:eastAsia="sl-SI"/>
        </w:rPr>
        <w:t xml:space="preserve"> opredeljenu jednu sedmicu </w:t>
      </w:r>
      <w:r w:rsidR="0015247C" w:rsidRPr="00215715">
        <w:rPr>
          <w:lang w:val="sr-Latn-RS" w:eastAsia="sl-SI"/>
        </w:rPr>
        <w:t>koja se bavi medicinom bola, što će se u budućnosti nastaviti.</w:t>
      </w:r>
    </w:p>
    <w:p w14:paraId="0986AA57" w14:textId="34B9C4C7" w:rsidR="007F60CA" w:rsidRPr="00215715" w:rsidRDefault="002F11D8" w:rsidP="00D74466">
      <w:pPr>
        <w:spacing w:line="360" w:lineRule="auto"/>
        <w:jc w:val="left"/>
        <w:rPr>
          <w:lang w:val="sr-Latn-RS" w:eastAsia="sl-SI"/>
        </w:rPr>
      </w:pPr>
      <w:r w:rsidRPr="00215715">
        <w:rPr>
          <w:lang w:val="sr-Latn-RS" w:eastAsia="sl-SI"/>
        </w:rPr>
        <w:t>Cilj organizacije predavanja je bio da se podigne svest studenata medicine o trenutno nedovoljnoj edukaciji u okviru osnovnih studija me</w:t>
      </w:r>
      <w:r w:rsidR="000F012F" w:rsidRPr="00215715">
        <w:rPr>
          <w:lang w:val="sr-Latn-RS" w:eastAsia="sl-SI"/>
        </w:rPr>
        <w:t>dicine iz oblasti medicine bola</w:t>
      </w:r>
      <w:r w:rsidR="0015247C" w:rsidRPr="00215715">
        <w:rPr>
          <w:lang w:val="sr-Latn-RS" w:eastAsia="sl-SI"/>
        </w:rPr>
        <w:t xml:space="preserve"> i da se detaljno obradi patfiziologija, etiologija, klinička slika i lečenje akutnog bola</w:t>
      </w:r>
      <w:r w:rsidR="000F012F" w:rsidRPr="00215715">
        <w:rPr>
          <w:lang w:val="sr-Latn-RS" w:eastAsia="sl-SI"/>
        </w:rPr>
        <w:t>:</w:t>
      </w:r>
      <w:r w:rsidR="00D40FB1" w:rsidRPr="00215715">
        <w:rPr>
          <w:lang w:val="sr-Latn-RS" w:eastAsia="sl-SI"/>
        </w:rPr>
        <w:t xml:space="preserve"> </w:t>
      </w:r>
    </w:p>
    <w:p w14:paraId="71F2E3BC" w14:textId="5C6606B2" w:rsidR="007F60CA" w:rsidRPr="00215715" w:rsidRDefault="007F60CA" w:rsidP="00D74466">
      <w:pPr>
        <w:pStyle w:val="ListParagraph"/>
        <w:numPr>
          <w:ilvl w:val="0"/>
          <w:numId w:val="22"/>
        </w:numPr>
        <w:spacing w:line="360" w:lineRule="auto"/>
        <w:rPr>
          <w:lang w:val="sr-Latn-RS"/>
        </w:rPr>
      </w:pPr>
      <w:r w:rsidRPr="00215715">
        <w:rPr>
          <w:lang w:val="sr-Latn-RS"/>
        </w:rPr>
        <w:t xml:space="preserve">Predstaviti analizu obrazovnih programa </w:t>
      </w:r>
      <w:r w:rsidR="000F012F" w:rsidRPr="00215715">
        <w:rPr>
          <w:lang w:val="sr-Latn-RS"/>
        </w:rPr>
        <w:t>F</w:t>
      </w:r>
      <w:r w:rsidRPr="00215715">
        <w:rPr>
          <w:lang w:val="sr-Latn-RS"/>
        </w:rPr>
        <w:t>akulteta medicinskih nauka u Kragujevcu koja pokazuje da je fon</w:t>
      </w:r>
      <w:r w:rsidR="00D40FB1" w:rsidRPr="00215715">
        <w:rPr>
          <w:lang w:val="sr-Latn-RS"/>
        </w:rPr>
        <w:t>d</w:t>
      </w:r>
      <w:r w:rsidRPr="00215715">
        <w:rPr>
          <w:lang w:val="sr-Latn-RS"/>
        </w:rPr>
        <w:t xml:space="preserve"> časova posvećen bolu nedovoljan i da program koji se bavi medicinom bola nije sveobuhvatan i dobro strukturiran.</w:t>
      </w:r>
    </w:p>
    <w:p w14:paraId="03F29081" w14:textId="2D560290" w:rsidR="007F60CA" w:rsidRPr="00215715" w:rsidRDefault="007F60CA" w:rsidP="00D74466">
      <w:pPr>
        <w:pStyle w:val="ListParagraph"/>
        <w:numPr>
          <w:ilvl w:val="0"/>
          <w:numId w:val="22"/>
        </w:numPr>
        <w:spacing w:line="360" w:lineRule="auto"/>
        <w:rPr>
          <w:lang w:val="sr-Latn-RS"/>
        </w:rPr>
      </w:pPr>
      <w:r w:rsidRPr="00215715">
        <w:rPr>
          <w:lang w:val="sr-Latn-RS"/>
        </w:rPr>
        <w:t>Ukazati da su znanja i veštine koje studenti stiču u oblasti terapije bola ned</w:t>
      </w:r>
      <w:r w:rsidR="00215715">
        <w:rPr>
          <w:lang w:val="sr-Latn-RS"/>
        </w:rPr>
        <w:t>o</w:t>
      </w:r>
      <w:r w:rsidRPr="00215715">
        <w:rPr>
          <w:lang w:val="sr-Latn-RS"/>
        </w:rPr>
        <w:t>voljni i ne odgovaraju stvarnim potrebama.</w:t>
      </w:r>
    </w:p>
    <w:p w14:paraId="5374F3C2" w14:textId="612C4070" w:rsidR="007F60CA" w:rsidRPr="00215715" w:rsidRDefault="007F60CA" w:rsidP="00D74466">
      <w:pPr>
        <w:pStyle w:val="ListParagraph"/>
        <w:numPr>
          <w:ilvl w:val="0"/>
          <w:numId w:val="22"/>
        </w:numPr>
        <w:spacing w:line="360" w:lineRule="auto"/>
        <w:rPr>
          <w:lang w:val="sr-Latn-RS"/>
        </w:rPr>
      </w:pPr>
      <w:r w:rsidRPr="00215715">
        <w:rPr>
          <w:lang w:val="sr-Latn-RS"/>
        </w:rPr>
        <w:t xml:space="preserve">Cilj projekta pod nazivom </w:t>
      </w:r>
      <w:r w:rsidRPr="00215715">
        <w:rPr>
          <w:color w:val="000000"/>
          <w:shd w:val="clear" w:color="auto" w:fill="FFFFFF"/>
          <w:lang w:val="sr-Latn-RS"/>
        </w:rPr>
        <w:t>"Strengthening capacities for higher education of pain medicine in Western Balkan Countries" (</w:t>
      </w:r>
      <w:r w:rsidR="000F012F" w:rsidRPr="00215715">
        <w:rPr>
          <w:color w:val="000000"/>
          <w:shd w:val="clear" w:color="auto" w:fill="FFFFFF"/>
          <w:lang w:val="sr-Latn-RS"/>
        </w:rPr>
        <w:t>“</w:t>
      </w:r>
      <w:r w:rsidRPr="00215715">
        <w:rPr>
          <w:color w:val="000000"/>
          <w:shd w:val="clear" w:color="auto" w:fill="FFFFFF"/>
          <w:lang w:val="sr-Latn-RS"/>
        </w:rPr>
        <w:t xml:space="preserve">Jačanje kapaciteta visokog obrazovanja u zemljama zapadnog Balkana u oblasti terapije bola”) je da unapredi kurikulume iz oblasti terapije bola na osnovnim i poslediplomskim </w:t>
      </w:r>
      <w:r w:rsidRPr="00215715">
        <w:rPr>
          <w:color w:val="000000"/>
          <w:shd w:val="clear" w:color="auto" w:fill="FFFFFF"/>
          <w:lang w:val="sr-Latn-RS"/>
        </w:rPr>
        <w:lastRenderedPageBreak/>
        <w:t>studijama medicine i tako omogući sticanje adekvatnog znanja i poboljšanje kompetentnosti lekara</w:t>
      </w:r>
      <w:r w:rsidR="000F012F" w:rsidRPr="00215715">
        <w:rPr>
          <w:color w:val="000000"/>
          <w:shd w:val="clear" w:color="auto" w:fill="FFFFFF"/>
          <w:lang w:val="sr-Latn-RS"/>
        </w:rPr>
        <w:t xml:space="preserve"> u lečenju bola nakon završenog medicinskog fakulteta.</w:t>
      </w:r>
      <w:r w:rsidRPr="00215715">
        <w:rPr>
          <w:color w:val="000000"/>
          <w:shd w:val="clear" w:color="auto" w:fill="FFFFFF"/>
          <w:lang w:val="sr-Latn-RS"/>
        </w:rPr>
        <w:t xml:space="preserve"> </w:t>
      </w:r>
    </w:p>
    <w:p w14:paraId="2B3B1355" w14:textId="22761070" w:rsidR="009F77A3" w:rsidRPr="00215715" w:rsidRDefault="00D40FB1" w:rsidP="00D74466">
      <w:pPr>
        <w:spacing w:line="360" w:lineRule="auto"/>
        <w:ind w:left="360"/>
        <w:rPr>
          <w:lang w:val="sr-Latn-RS"/>
        </w:rPr>
      </w:pPr>
      <w:bookmarkStart w:id="0" w:name="_GoBack"/>
      <w:r w:rsidRPr="00215715">
        <w:rPr>
          <w:lang w:val="sr-Latn-RS"/>
        </w:rPr>
        <w:t>Predavanja Post-traumatski bol i</w:t>
      </w:r>
      <w:r w:rsidR="009F77A3" w:rsidRPr="00215715">
        <w:rPr>
          <w:lang w:val="sr-Latn-RS"/>
        </w:rPr>
        <w:t xml:space="preserve"> Post-operativni bol</w:t>
      </w:r>
      <w:r w:rsidRPr="00215715">
        <w:rPr>
          <w:lang w:val="sr-Latn-RS"/>
        </w:rPr>
        <w:t xml:space="preserve"> i multimodalna analgezija imali su </w:t>
      </w:r>
      <w:r w:rsidR="009F77A3" w:rsidRPr="00215715">
        <w:rPr>
          <w:lang w:val="sr-Latn-RS"/>
        </w:rPr>
        <w:t>za cilj da studenti steknu znanja o:</w:t>
      </w:r>
    </w:p>
    <w:p w14:paraId="7B32430D" w14:textId="1378206C" w:rsidR="009F77A3" w:rsidRPr="00215715" w:rsidRDefault="009F77A3" w:rsidP="00D74466">
      <w:pPr>
        <w:pStyle w:val="ListParagraph"/>
        <w:numPr>
          <w:ilvl w:val="0"/>
          <w:numId w:val="22"/>
        </w:numPr>
        <w:spacing w:line="360" w:lineRule="auto"/>
        <w:rPr>
          <w:lang w:val="sr-Latn-RS"/>
        </w:rPr>
      </w:pPr>
      <w:r w:rsidRPr="00215715">
        <w:rPr>
          <w:lang w:val="sr-Latn-RS"/>
        </w:rPr>
        <w:t>Negativnim fiziološkim efektima netretiranog</w:t>
      </w:r>
      <w:r w:rsidR="00D40FB1" w:rsidRPr="00215715">
        <w:rPr>
          <w:lang w:val="sr-Latn-RS"/>
        </w:rPr>
        <w:t xml:space="preserve"> akutnog bola</w:t>
      </w:r>
    </w:p>
    <w:p w14:paraId="2D82E1F6" w14:textId="27940C11" w:rsidR="009F77A3" w:rsidRPr="00215715" w:rsidRDefault="009F77A3" w:rsidP="00D74466">
      <w:pPr>
        <w:pStyle w:val="ListParagraph"/>
        <w:numPr>
          <w:ilvl w:val="0"/>
          <w:numId w:val="22"/>
        </w:numPr>
        <w:spacing w:line="360" w:lineRule="auto"/>
        <w:rPr>
          <w:lang w:val="sr-Latn-RS"/>
        </w:rPr>
      </w:pPr>
      <w:r w:rsidRPr="00215715">
        <w:rPr>
          <w:lang w:val="sr-Latn-RS"/>
        </w:rPr>
        <w:t>Faktorima rizika za razvoj hroničnog post-operativnog</w:t>
      </w:r>
      <w:r w:rsidR="00D40FB1" w:rsidRPr="00215715">
        <w:rPr>
          <w:lang w:val="sr-Latn-RS"/>
        </w:rPr>
        <w:t xml:space="preserve"> i posttraumatskog</w:t>
      </w:r>
      <w:r w:rsidRPr="00215715">
        <w:rPr>
          <w:lang w:val="sr-Latn-RS"/>
        </w:rPr>
        <w:t xml:space="preserve"> bola</w:t>
      </w:r>
    </w:p>
    <w:p w14:paraId="5A1E7519" w14:textId="0601CFE2" w:rsidR="009F77A3" w:rsidRPr="00215715" w:rsidRDefault="00D40FB1" w:rsidP="00D74466">
      <w:pPr>
        <w:pStyle w:val="ListParagraph"/>
        <w:numPr>
          <w:ilvl w:val="0"/>
          <w:numId w:val="22"/>
        </w:numPr>
        <w:spacing w:line="360" w:lineRule="auto"/>
        <w:rPr>
          <w:lang w:val="sr-Latn-RS"/>
        </w:rPr>
      </w:pPr>
      <w:r w:rsidRPr="00215715">
        <w:rPr>
          <w:lang w:val="sr-Latn-RS"/>
        </w:rPr>
        <w:t>Farmakoterapiji i</w:t>
      </w:r>
      <w:r w:rsidR="009F77A3" w:rsidRPr="00215715">
        <w:rPr>
          <w:lang w:val="sr-Latn-RS"/>
        </w:rPr>
        <w:t xml:space="preserve"> nervnim blokovima koji su pogodni za tretiranje bola nakon različitih hirurških intervencija</w:t>
      </w:r>
      <w:r w:rsidRPr="00215715">
        <w:rPr>
          <w:lang w:val="sr-Latn-RS"/>
        </w:rPr>
        <w:t>, odnosno povreda</w:t>
      </w:r>
    </w:p>
    <w:p w14:paraId="552CEA3E" w14:textId="1BD11DCC" w:rsidR="009F77A3" w:rsidRPr="00215715" w:rsidRDefault="009F77A3" w:rsidP="00D74466">
      <w:pPr>
        <w:pStyle w:val="ListParagraph"/>
        <w:numPr>
          <w:ilvl w:val="0"/>
          <w:numId w:val="22"/>
        </w:numPr>
        <w:spacing w:line="360" w:lineRule="auto"/>
        <w:rPr>
          <w:lang w:val="sr-Latn-RS"/>
        </w:rPr>
      </w:pPr>
      <w:r w:rsidRPr="00215715">
        <w:rPr>
          <w:lang w:val="sr-Latn-RS"/>
        </w:rPr>
        <w:t>Nefarmakološkim metodama lečenja</w:t>
      </w:r>
      <w:r w:rsidR="00D40FB1" w:rsidRPr="00215715">
        <w:rPr>
          <w:lang w:val="sr-Latn-RS"/>
        </w:rPr>
        <w:t xml:space="preserve"> akutnog bola</w:t>
      </w:r>
    </w:p>
    <w:p w14:paraId="156A28BA" w14:textId="2977B6B8" w:rsidR="009F77A3" w:rsidRPr="00215715" w:rsidRDefault="009F77A3" w:rsidP="00D74466">
      <w:pPr>
        <w:pStyle w:val="ListParagraph"/>
        <w:numPr>
          <w:ilvl w:val="0"/>
          <w:numId w:val="22"/>
        </w:numPr>
        <w:spacing w:line="360" w:lineRule="auto"/>
        <w:rPr>
          <w:lang w:val="sr-Latn-RS"/>
        </w:rPr>
      </w:pPr>
      <w:r w:rsidRPr="00215715">
        <w:rPr>
          <w:lang w:val="sr-Latn-RS"/>
        </w:rPr>
        <w:t>Značaju preemptivne analgezije tokom perioprativnog perioda</w:t>
      </w:r>
    </w:p>
    <w:p w14:paraId="70A97733" w14:textId="6A1151AB" w:rsidR="009F77A3" w:rsidRPr="00215715" w:rsidRDefault="009F77A3" w:rsidP="00D74466">
      <w:pPr>
        <w:pStyle w:val="ListParagraph"/>
        <w:numPr>
          <w:ilvl w:val="0"/>
          <w:numId w:val="22"/>
        </w:numPr>
        <w:spacing w:line="360" w:lineRule="auto"/>
        <w:rPr>
          <w:lang w:val="sr-Latn-RS"/>
        </w:rPr>
      </w:pPr>
      <w:r w:rsidRPr="00215715">
        <w:rPr>
          <w:lang w:val="sr-Latn-RS"/>
        </w:rPr>
        <w:t>Principima multimodalne terapije</w:t>
      </w:r>
      <w:r w:rsidR="000D0509" w:rsidRPr="00215715">
        <w:rPr>
          <w:lang w:val="sr-Latn-RS"/>
        </w:rPr>
        <w:t xml:space="preserve"> akutnog bola</w:t>
      </w:r>
    </w:p>
    <w:bookmarkEnd w:id="0"/>
    <w:p w14:paraId="0280D544" w14:textId="77777777" w:rsidR="000D0CAE" w:rsidRPr="00215715" w:rsidRDefault="000D0CAE" w:rsidP="00D74466">
      <w:pPr>
        <w:spacing w:line="360" w:lineRule="auto"/>
        <w:rPr>
          <w:lang w:val="sr-Latn-RS"/>
        </w:rPr>
      </w:pPr>
    </w:p>
    <w:p w14:paraId="5A6AF127" w14:textId="77777777" w:rsidR="000D0CAE" w:rsidRPr="00215715" w:rsidRDefault="000D0CAE" w:rsidP="00D74466">
      <w:pPr>
        <w:spacing w:after="100" w:afterAutospacing="1" w:line="360" w:lineRule="auto"/>
        <w:rPr>
          <w:b/>
          <w:sz w:val="28"/>
          <w:szCs w:val="28"/>
          <w:lang w:val="sr-Latn-RS"/>
        </w:rPr>
      </w:pPr>
      <w:r w:rsidRPr="00215715">
        <w:rPr>
          <w:b/>
          <w:sz w:val="28"/>
          <w:szCs w:val="28"/>
          <w:lang w:val="sr-Latn-RS"/>
        </w:rPr>
        <w:t>Description of activities</w:t>
      </w:r>
    </w:p>
    <w:p w14:paraId="3ED786A4" w14:textId="277D31FB" w:rsidR="000D0CAE" w:rsidRPr="00215715" w:rsidRDefault="000D0CAE" w:rsidP="00D74466">
      <w:pPr>
        <w:spacing w:after="100" w:afterAutospacing="1" w:line="360" w:lineRule="auto"/>
        <w:rPr>
          <w:rFonts w:cs="Times New Roman"/>
          <w:color w:val="000000"/>
          <w:szCs w:val="24"/>
          <w:shd w:val="clear" w:color="auto" w:fill="FFFFFF"/>
          <w:lang w:val="sr-Latn-RS"/>
        </w:rPr>
      </w:pPr>
      <w:r w:rsidRPr="00215715">
        <w:rPr>
          <w:szCs w:val="24"/>
          <w:lang w:val="sr-Latn-RS"/>
        </w:rPr>
        <w:t>Nakon odabira tema i izbora predavača pristupilo se izradi edukativnog materijala u formi prezentacija koje su se odnosile na izabrane oblasti. Studenti su obavešteni o vremenu i mestu održavanja predavanja. Izvršena je registracija prisutnih s</w:t>
      </w:r>
      <w:r w:rsidR="00FE210F" w:rsidRPr="00215715">
        <w:rPr>
          <w:szCs w:val="24"/>
          <w:lang w:val="sr-Latn-RS"/>
        </w:rPr>
        <w:t>tudenata, a nakon toga je Prof J</w:t>
      </w:r>
      <w:r w:rsidRPr="00215715">
        <w:rPr>
          <w:szCs w:val="24"/>
          <w:lang w:val="sr-Latn-RS"/>
        </w:rPr>
        <w:t>asna Jevđić održala uvodno predavanje kojim je predstavila analizu zastupljenosti tema iz oblasti medicine bola na dodiplomskim studijama medicine na Fakultetu medicinskih nauka u Kragujevcu</w:t>
      </w:r>
      <w:r w:rsidR="00FE210F" w:rsidRPr="00215715">
        <w:rPr>
          <w:szCs w:val="24"/>
          <w:lang w:val="sr-Latn-RS"/>
        </w:rPr>
        <w:t xml:space="preserve">. </w:t>
      </w:r>
      <w:r w:rsidR="00FE210F" w:rsidRPr="00215715">
        <w:rPr>
          <w:rFonts w:cs="Times New Roman"/>
          <w:szCs w:val="24"/>
          <w:lang w:val="sr-Latn-RS"/>
        </w:rPr>
        <w:t xml:space="preserve">Promovisani su neki od ciljeva i zadataka ERASMUS+ projekta: </w:t>
      </w:r>
      <w:r w:rsidR="00FE210F" w:rsidRPr="00215715">
        <w:rPr>
          <w:rFonts w:cs="Times New Roman"/>
          <w:color w:val="000000"/>
          <w:szCs w:val="24"/>
          <w:shd w:val="clear" w:color="auto" w:fill="FFFFFF"/>
          <w:lang w:val="sr-Latn-RS"/>
        </w:rPr>
        <w:t>"Strengthening capacities for higher education of pain medicine in Western Balkan Countries".  Pre svih, a od značaja za studente medicine: unapredjenje kurikuluma iz oblasti medicine bola na osnovnim studijama medicine, što bi omogućilo sticanje adekvatnog znanja u oblasti terapije bola i kompetentnije lečenje bola nakon završenih studija medicine.</w:t>
      </w:r>
    </w:p>
    <w:p w14:paraId="0FEE159D" w14:textId="3C893473" w:rsidR="00FE210F" w:rsidRPr="00215715" w:rsidRDefault="00FE210F" w:rsidP="00D74466">
      <w:pPr>
        <w:spacing w:line="360" w:lineRule="auto"/>
        <w:rPr>
          <w:rFonts w:cs="Times New Roman"/>
          <w:szCs w:val="24"/>
          <w:lang w:val="sr-Latn-RS"/>
        </w:rPr>
      </w:pPr>
      <w:r w:rsidRPr="00215715">
        <w:rPr>
          <w:rFonts w:cs="Times New Roman"/>
          <w:color w:val="000000"/>
          <w:szCs w:val="24"/>
          <w:shd w:val="clear" w:color="auto" w:fill="FFFFFF"/>
          <w:lang w:val="sr-Latn-RS"/>
        </w:rPr>
        <w:t>Nakon uvodnog predavanja Doc dr Nenad Zornić je održao predavanje o postoperativnom bolu i multi modalnoj analgeziji. Objasnio je</w:t>
      </w:r>
      <w:r w:rsidRPr="00215715">
        <w:rPr>
          <w:rFonts w:cs="Times New Roman"/>
          <w:szCs w:val="24"/>
          <w:lang w:val="sr-Latn-RS"/>
        </w:rPr>
        <w:t xml:space="preserve"> patofiziologiju post-opertivnog bola, i naglasio koje grupe bolesnika imaju rizik za neadekvatno tretiranje </w:t>
      </w:r>
      <w:r w:rsidRPr="00215715">
        <w:rPr>
          <w:rFonts w:cs="Times New Roman"/>
          <w:szCs w:val="24"/>
          <w:lang w:val="sr-Latn-RS"/>
        </w:rPr>
        <w:lastRenderedPageBreak/>
        <w:t>post-operativnog bola: pedijatrijski bolesnici, gerijatrijski bolesnici, kritično oboleli pacijenti i bolesnci sa kognitivnim smetnjama. Naznačio je da je za adekvatno tretiranje post-operativnog bola neophodna procena intenziteta bola i u odnosu na intenzitet bola</w:t>
      </w:r>
      <w:r w:rsidR="00643F9E" w:rsidRPr="00215715">
        <w:rPr>
          <w:rFonts w:cs="Times New Roman"/>
          <w:szCs w:val="24"/>
          <w:lang w:val="sr-Latn-RS"/>
        </w:rPr>
        <w:t xml:space="preserve"> i</w:t>
      </w:r>
      <w:r w:rsidRPr="00215715">
        <w:rPr>
          <w:rFonts w:cs="Times New Roman"/>
          <w:szCs w:val="24"/>
          <w:lang w:val="sr-Latn-RS"/>
        </w:rPr>
        <w:t xml:space="preserve"> primena odgovarjućih analgetika</w:t>
      </w:r>
      <w:r w:rsidR="00643F9E" w:rsidRPr="00215715">
        <w:rPr>
          <w:rFonts w:cs="Times New Roman"/>
          <w:szCs w:val="24"/>
          <w:lang w:val="sr-Latn-RS"/>
        </w:rPr>
        <w:t xml:space="preserve">: nesteroidnih antiinflamatornih lekova, paracetamola, opioidnih analgetika, </w:t>
      </w:r>
      <w:r w:rsidRPr="00215715">
        <w:rPr>
          <w:rFonts w:cs="Times New Roman"/>
          <w:szCs w:val="24"/>
          <w:lang w:val="sr-Latn-RS"/>
        </w:rPr>
        <w:t>centralnih nervnih blokova, kao i perifernih re</w:t>
      </w:r>
      <w:r w:rsidR="00643F9E" w:rsidRPr="00215715">
        <w:rPr>
          <w:rFonts w:cs="Times New Roman"/>
          <w:szCs w:val="24"/>
          <w:lang w:val="sr-Latn-RS"/>
        </w:rPr>
        <w:t>gionalnih blokova, kao i primena</w:t>
      </w:r>
      <w:r w:rsidRPr="00215715">
        <w:rPr>
          <w:rFonts w:cs="Times New Roman"/>
          <w:szCs w:val="24"/>
          <w:lang w:val="sr-Latn-RS"/>
        </w:rPr>
        <w:t xml:space="preserve"> PCA- analgezije.</w:t>
      </w:r>
      <w:r w:rsidR="00643F9E" w:rsidRPr="00215715">
        <w:rPr>
          <w:rFonts w:cs="Times New Roman"/>
          <w:szCs w:val="24"/>
          <w:lang w:val="sr-Latn-RS"/>
        </w:rPr>
        <w:t xml:space="preserve"> Potom je govorio o značaju usvajanja multimodalnog pristupa u lečenju post-operativnog bola, gde se kombinuju lekovi sa različitim mehanizmom dejstva radi postizanja sinergističkog efekta i umanjenja neželjenih efekata svakog pojedinog leka, kao i različiti putevi aplikacije leka.</w:t>
      </w:r>
    </w:p>
    <w:p w14:paraId="35770023" w14:textId="3A77174F" w:rsidR="000D0509" w:rsidRPr="00215715" w:rsidRDefault="000D0509" w:rsidP="00D74466">
      <w:pPr>
        <w:spacing w:line="360" w:lineRule="auto"/>
        <w:rPr>
          <w:rFonts w:cs="Times New Roman"/>
          <w:szCs w:val="24"/>
          <w:lang w:val="sr-Latn-RS"/>
        </w:rPr>
      </w:pPr>
      <w:r w:rsidRPr="00215715">
        <w:rPr>
          <w:rFonts w:cs="Times New Roman"/>
          <w:szCs w:val="24"/>
          <w:lang w:val="sr-Latn-RS"/>
        </w:rPr>
        <w:t>Prof Jasna Jevđić</w:t>
      </w:r>
      <w:r w:rsidR="00514B9E" w:rsidRPr="00215715">
        <w:rPr>
          <w:rFonts w:cs="Times New Roman"/>
          <w:szCs w:val="24"/>
          <w:lang w:val="sr-Latn-RS"/>
        </w:rPr>
        <w:t xml:space="preserve"> je unastavku istakla da istraživanja pokazuju lošu kontrolu post-traumatskog bola. S druge strane, adekvatno lečenje bola</w:t>
      </w:r>
      <w:r w:rsidR="00F56EFF" w:rsidRPr="00215715">
        <w:rPr>
          <w:rFonts w:cs="Times New Roman"/>
          <w:szCs w:val="24"/>
          <w:lang w:val="sr-Latn-RS"/>
        </w:rPr>
        <w:t>, supresijom stres odgovora organizma može da</w:t>
      </w:r>
      <w:r w:rsidR="00034400" w:rsidRPr="00215715">
        <w:rPr>
          <w:rFonts w:cs="Times New Roman"/>
          <w:szCs w:val="24"/>
          <w:lang w:val="sr-Latn-RS"/>
        </w:rPr>
        <w:t xml:space="preserve"> ubrza isceljenje povreda, smanji</w:t>
      </w:r>
      <w:r w:rsidR="00514B9E" w:rsidRPr="00215715">
        <w:rPr>
          <w:rFonts w:cs="Times New Roman"/>
          <w:szCs w:val="24"/>
          <w:lang w:val="sr-Latn-RS"/>
        </w:rPr>
        <w:t xml:space="preserve"> morbiditet i mortalitet</w:t>
      </w:r>
      <w:r w:rsidR="00034400" w:rsidRPr="00215715">
        <w:rPr>
          <w:rFonts w:cs="Times New Roman"/>
          <w:szCs w:val="24"/>
          <w:lang w:val="sr-Latn-RS"/>
        </w:rPr>
        <w:t xml:space="preserve"> nakon teške traume i smanji</w:t>
      </w:r>
      <w:r w:rsidR="00514B9E" w:rsidRPr="00215715">
        <w:rPr>
          <w:rFonts w:cs="Times New Roman"/>
          <w:szCs w:val="24"/>
          <w:lang w:val="sr-Latn-RS"/>
        </w:rPr>
        <w:t xml:space="preserve"> dužinu bolničkog lečenja</w:t>
      </w:r>
      <w:r w:rsidR="00A32612" w:rsidRPr="00215715">
        <w:rPr>
          <w:rFonts w:cs="Times New Roman"/>
          <w:szCs w:val="24"/>
          <w:lang w:val="sr-Latn-RS"/>
        </w:rPr>
        <w:t xml:space="preserve"> kao</w:t>
      </w:r>
      <w:r w:rsidR="00514B9E" w:rsidRPr="00215715">
        <w:rPr>
          <w:rFonts w:cs="Times New Roman"/>
          <w:szCs w:val="24"/>
          <w:lang w:val="sr-Latn-RS"/>
        </w:rPr>
        <w:t xml:space="preserve"> i troškove lečenja. Trauma</w:t>
      </w:r>
      <w:r w:rsidR="00A32612" w:rsidRPr="00215715">
        <w:rPr>
          <w:rFonts w:cs="Times New Roman"/>
          <w:szCs w:val="24"/>
          <w:lang w:val="sr-Latn-RS"/>
        </w:rPr>
        <w:t xml:space="preserve"> dovodi do oštećenja</w:t>
      </w:r>
      <w:r w:rsidR="00514B9E" w:rsidRPr="00215715">
        <w:rPr>
          <w:rFonts w:cs="Times New Roman"/>
          <w:szCs w:val="24"/>
          <w:lang w:val="sr-Latn-RS"/>
        </w:rPr>
        <w:t xml:space="preserve"> tkiva</w:t>
      </w:r>
      <w:r w:rsidR="00A32612" w:rsidRPr="00215715">
        <w:rPr>
          <w:rFonts w:cs="Times New Roman"/>
          <w:szCs w:val="24"/>
          <w:lang w:val="sr-Latn-RS"/>
        </w:rPr>
        <w:t xml:space="preserve"> što stimuliše nociceptore, tako da traumatizovani oseća jaku bol. Trauma i bol različitim mehanizmima</w:t>
      </w:r>
      <w:r w:rsidR="00514B9E" w:rsidRPr="00215715">
        <w:rPr>
          <w:rFonts w:cs="Times New Roman"/>
          <w:szCs w:val="24"/>
          <w:lang w:val="sr-Latn-RS"/>
        </w:rPr>
        <w:t xml:space="preserve"> dovode do snažnog neuro-endokrinog odgovora organizma </w:t>
      </w:r>
      <w:r w:rsidR="00A32612" w:rsidRPr="00215715">
        <w:rPr>
          <w:rFonts w:cs="Times New Roman"/>
          <w:szCs w:val="24"/>
          <w:lang w:val="sr-Latn-RS"/>
        </w:rPr>
        <w:t>koji za posledicu ima promene</w:t>
      </w:r>
      <w:r w:rsidR="00514B9E" w:rsidRPr="00215715">
        <w:rPr>
          <w:rFonts w:cs="Times New Roman"/>
          <w:szCs w:val="24"/>
          <w:lang w:val="sr-Latn-RS"/>
        </w:rPr>
        <w:t xml:space="preserve"> u funkcionisanju gotovo svih sistema organa</w:t>
      </w:r>
      <w:r w:rsidR="00A32612" w:rsidRPr="00215715">
        <w:rPr>
          <w:rFonts w:cs="Times New Roman"/>
          <w:szCs w:val="24"/>
          <w:lang w:val="sr-Latn-RS"/>
        </w:rPr>
        <w:t>, koji inicijalno imaju zaštitnu ulogu, ali ako se ne suprimiraju imaju štetan efekat</w:t>
      </w:r>
      <w:r w:rsidR="00514B9E" w:rsidRPr="00215715">
        <w:rPr>
          <w:rFonts w:cs="Times New Roman"/>
          <w:szCs w:val="24"/>
          <w:lang w:val="sr-Latn-RS"/>
        </w:rPr>
        <w:t>. Loše kontrolisan akutni bol takođe vodi nastanku hroničnog bola, koga je teško lečiti. Terapija post-traumatskog bola</w:t>
      </w:r>
      <w:r w:rsidR="00034400" w:rsidRPr="00215715">
        <w:rPr>
          <w:rFonts w:cs="Times New Roman"/>
          <w:szCs w:val="24"/>
          <w:lang w:val="sr-Latn-RS"/>
        </w:rPr>
        <w:t xml:space="preserve"> obuhvata</w:t>
      </w:r>
      <w:r w:rsidR="00514B9E" w:rsidRPr="00215715">
        <w:rPr>
          <w:rFonts w:cs="Times New Roman"/>
          <w:szCs w:val="24"/>
          <w:lang w:val="sr-Latn-RS"/>
        </w:rPr>
        <w:t xml:space="preserve"> psihološki, fizikalni i medikamentozni tretman povređenog bolesnika. </w:t>
      </w:r>
      <w:r w:rsidR="00034400" w:rsidRPr="00215715">
        <w:rPr>
          <w:rFonts w:cs="Times New Roman"/>
          <w:szCs w:val="24"/>
          <w:lang w:val="sr-Latn-RS"/>
        </w:rPr>
        <w:t>Farmakološki z</w:t>
      </w:r>
      <w:r w:rsidR="00514B9E" w:rsidRPr="00215715">
        <w:rPr>
          <w:rFonts w:cs="Times New Roman"/>
          <w:szCs w:val="24"/>
          <w:lang w:val="sr-Latn-RS"/>
        </w:rPr>
        <w:t>latni standard za lečenje post-traumatskog bola</w:t>
      </w:r>
      <w:r w:rsidR="00034400" w:rsidRPr="00215715">
        <w:rPr>
          <w:rFonts w:cs="Times New Roman"/>
          <w:szCs w:val="24"/>
          <w:lang w:val="sr-Latn-RS"/>
        </w:rPr>
        <w:t xml:space="preserve"> su opioidi. Važno ih je je što ranije primeniti, ako je moguće odmah nakon povređivanja, na terenu, od strane lekara Hitne medicinske pomoći.</w:t>
      </w:r>
      <w:r w:rsidR="00514B9E" w:rsidRPr="00215715">
        <w:rPr>
          <w:rFonts w:cs="Times New Roman"/>
          <w:szCs w:val="24"/>
          <w:lang w:val="sr-Latn-RS"/>
        </w:rPr>
        <w:t xml:space="preserve"> Nesteroidni antiinflamatorni lekovi zbog svojih neželjenih dejstava nisu pogodni za lečenje akutne faze bola u traumi. Primenjuju se tek kasnije po stabilizaciji povređenog bolesnika sa ciljem da se smanje potrebne doze opioida. Regionalni i centralni nervni blokovi se takođe m</w:t>
      </w:r>
      <w:r w:rsidR="00034400" w:rsidRPr="00215715">
        <w:rPr>
          <w:rFonts w:cs="Times New Roman"/>
          <w:szCs w:val="24"/>
          <w:lang w:val="sr-Latn-RS"/>
        </w:rPr>
        <w:t>ogu primenjivati u lečenju bola</w:t>
      </w:r>
      <w:r w:rsidR="00514B9E" w:rsidRPr="00215715">
        <w:rPr>
          <w:rFonts w:cs="Times New Roman"/>
          <w:szCs w:val="24"/>
          <w:lang w:val="sr-Latn-RS"/>
        </w:rPr>
        <w:t xml:space="preserve"> kod traumatizovanih</w:t>
      </w:r>
      <w:r w:rsidR="00034400" w:rsidRPr="00215715">
        <w:rPr>
          <w:rFonts w:cs="Times New Roman"/>
          <w:szCs w:val="24"/>
          <w:lang w:val="sr-Latn-RS"/>
        </w:rPr>
        <w:t>, ali za to često postoje tehničke poteškoće</w:t>
      </w:r>
      <w:r w:rsidR="00514B9E" w:rsidRPr="00215715">
        <w:rPr>
          <w:rFonts w:cs="Times New Roman"/>
          <w:szCs w:val="24"/>
          <w:lang w:val="sr-Latn-RS"/>
        </w:rPr>
        <w:t>. Treba primeniti multimodalni princip u terapiji post-traumatskog bola</w:t>
      </w:r>
    </w:p>
    <w:p w14:paraId="40ED2082" w14:textId="77777777" w:rsidR="00643F9E" w:rsidRPr="00215715" w:rsidRDefault="00643F9E" w:rsidP="00D74466">
      <w:pPr>
        <w:spacing w:line="360" w:lineRule="auto"/>
        <w:rPr>
          <w:rFonts w:cs="Times New Roman"/>
          <w:szCs w:val="24"/>
          <w:lang w:val="sr-Latn-RS"/>
        </w:rPr>
      </w:pPr>
      <w:r w:rsidRPr="00215715">
        <w:rPr>
          <w:rFonts w:cs="Times New Roman"/>
          <w:szCs w:val="24"/>
          <w:lang w:val="sr-Latn-RS"/>
        </w:rPr>
        <w:lastRenderedPageBreak/>
        <w:t>U okviru praktične nastave studenti su uvežbavali:</w:t>
      </w:r>
    </w:p>
    <w:p w14:paraId="76AE0441" w14:textId="2EC5BCE4" w:rsidR="00643F9E" w:rsidRPr="00215715" w:rsidRDefault="00643F9E" w:rsidP="00D74466">
      <w:pPr>
        <w:spacing w:line="360" w:lineRule="auto"/>
        <w:rPr>
          <w:rFonts w:cs="Times New Roman"/>
          <w:szCs w:val="24"/>
          <w:lang w:val="sr-Latn-RS"/>
        </w:rPr>
      </w:pPr>
      <w:r w:rsidRPr="00215715">
        <w:rPr>
          <w:rFonts w:cs="Times New Roman"/>
          <w:szCs w:val="24"/>
          <w:lang w:val="sr-Latn-RS"/>
        </w:rPr>
        <w:t>- određivanje adekvatne analgezije nakon pojedinih tipova operativnih zahvata</w:t>
      </w:r>
      <w:r w:rsidR="00514B9E" w:rsidRPr="00215715">
        <w:rPr>
          <w:rFonts w:cs="Times New Roman"/>
          <w:szCs w:val="24"/>
          <w:lang w:val="sr-Latn-RS"/>
        </w:rPr>
        <w:t xml:space="preserve"> odnosno povreda, i kod politramatizovanih bolesnika</w:t>
      </w:r>
      <w:r w:rsidRPr="00215715">
        <w:rPr>
          <w:rFonts w:cs="Times New Roman"/>
          <w:szCs w:val="24"/>
          <w:lang w:val="sr-Latn-RS"/>
        </w:rPr>
        <w:t xml:space="preserve"> </w:t>
      </w:r>
    </w:p>
    <w:p w14:paraId="47151B80" w14:textId="629C369B" w:rsidR="00643F9E" w:rsidRPr="00215715" w:rsidRDefault="00643F9E" w:rsidP="00D74466">
      <w:pPr>
        <w:spacing w:line="360" w:lineRule="auto"/>
        <w:rPr>
          <w:rFonts w:cs="Times New Roman"/>
          <w:szCs w:val="24"/>
          <w:lang w:val="sr-Latn-RS"/>
        </w:rPr>
      </w:pPr>
      <w:r w:rsidRPr="00215715">
        <w:rPr>
          <w:rFonts w:cs="Times New Roman"/>
          <w:szCs w:val="24"/>
          <w:lang w:val="sr-Latn-RS"/>
        </w:rPr>
        <w:t>- upoznali se sa pacijent kontrolisanom analgezijom i programiranjem infuzione pumpe</w:t>
      </w:r>
    </w:p>
    <w:p w14:paraId="1DE7C422" w14:textId="7D0B47FE" w:rsidR="00643F9E" w:rsidRPr="00215715" w:rsidRDefault="00643F9E" w:rsidP="00D74466">
      <w:pPr>
        <w:spacing w:line="360" w:lineRule="auto"/>
        <w:rPr>
          <w:rFonts w:cs="Times New Roman"/>
          <w:szCs w:val="24"/>
          <w:lang w:val="sr-Latn-RS"/>
        </w:rPr>
      </w:pPr>
      <w:r w:rsidRPr="00215715">
        <w:rPr>
          <w:rFonts w:cs="Times New Roman"/>
          <w:szCs w:val="24"/>
          <w:lang w:val="sr-Latn-RS"/>
        </w:rPr>
        <w:t xml:space="preserve">- </w:t>
      </w:r>
      <w:r w:rsidR="00514B9E" w:rsidRPr="00215715">
        <w:rPr>
          <w:rFonts w:cs="Times New Roman"/>
          <w:szCs w:val="24"/>
          <w:lang w:val="sr-Latn-RS"/>
        </w:rPr>
        <w:t>upoznali se sa neželjenim efektima opioida i kritičkom procenom dovoljnosti analgezije na osnovu vitalnih parametara bolesnika nakon operacije, odnosno traume</w:t>
      </w:r>
    </w:p>
    <w:p w14:paraId="57710D2D" w14:textId="34D5C5EF" w:rsidR="00514B9E" w:rsidRPr="00215715" w:rsidRDefault="00514B9E" w:rsidP="00D74466">
      <w:pPr>
        <w:spacing w:line="360" w:lineRule="auto"/>
        <w:rPr>
          <w:rFonts w:cs="Times New Roman"/>
          <w:szCs w:val="24"/>
          <w:lang w:val="sr-Latn-RS"/>
        </w:rPr>
      </w:pPr>
      <w:r w:rsidRPr="00215715">
        <w:rPr>
          <w:rFonts w:cs="Times New Roman"/>
          <w:szCs w:val="24"/>
          <w:lang w:val="sr-Latn-RS"/>
        </w:rPr>
        <w:t>- upoznali se sa tehnikom multimodalne analgezije</w:t>
      </w:r>
    </w:p>
    <w:p w14:paraId="08F343A7" w14:textId="30678F38" w:rsidR="00FE210F" w:rsidRPr="00215715" w:rsidRDefault="00FE210F" w:rsidP="00D74466">
      <w:pPr>
        <w:spacing w:after="100" w:afterAutospacing="1" w:line="360" w:lineRule="auto"/>
        <w:rPr>
          <w:szCs w:val="24"/>
          <w:lang w:val="sr-Latn-RS"/>
        </w:rPr>
      </w:pPr>
    </w:p>
    <w:p w14:paraId="72F80043" w14:textId="4463D121" w:rsidR="00954B10" w:rsidRPr="00215715" w:rsidRDefault="00954B10" w:rsidP="00D74466">
      <w:pPr>
        <w:spacing w:after="100" w:afterAutospacing="1" w:line="360" w:lineRule="auto"/>
        <w:rPr>
          <w:szCs w:val="24"/>
          <w:lang w:val="sr-Latn-RS"/>
        </w:rPr>
      </w:pPr>
      <w:r w:rsidRPr="00215715">
        <w:rPr>
          <w:szCs w:val="24"/>
          <w:lang w:val="sr-Latn-RS"/>
        </w:rPr>
        <w:t>Nakon završenih predavanja usledila je kratka diskusija i popunjavanje evaluacionog upitnika od strane studenata.</w:t>
      </w:r>
    </w:p>
    <w:p w14:paraId="53B246A6" w14:textId="28A0E0A9" w:rsidR="000D0CAE" w:rsidRPr="00215715" w:rsidRDefault="000D0CAE" w:rsidP="000D0CAE">
      <w:pPr>
        <w:spacing w:after="100" w:afterAutospacing="1" w:line="360" w:lineRule="auto"/>
        <w:rPr>
          <w:b/>
          <w:sz w:val="28"/>
          <w:szCs w:val="28"/>
          <w:lang w:val="sr-Latn-RS"/>
        </w:rPr>
      </w:pPr>
    </w:p>
    <w:p w14:paraId="4854D7CE" w14:textId="1DD8FDC2" w:rsidR="00FB1EC3" w:rsidRPr="00215715" w:rsidRDefault="00FB1EC3">
      <w:pPr>
        <w:spacing w:line="240" w:lineRule="auto"/>
        <w:jc w:val="left"/>
        <w:rPr>
          <w:lang w:val="sr-Latn-RS" w:eastAsia="sl-SI"/>
        </w:rPr>
      </w:pPr>
      <w:r w:rsidRPr="00215715">
        <w:rPr>
          <w:lang w:val="sr-Latn-RS" w:eastAsia="sl-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E6180" w:rsidRPr="00215715" w14:paraId="46E6D340" w14:textId="77777777" w:rsidTr="005E6180">
        <w:trPr>
          <w:trHeight w:val="2174"/>
        </w:trPr>
        <w:tc>
          <w:tcPr>
            <w:tcW w:w="9289" w:type="dxa"/>
            <w:vAlign w:val="center"/>
          </w:tcPr>
          <w:p w14:paraId="79E7DE89" w14:textId="77777777" w:rsidR="005E6180" w:rsidRPr="00215715" w:rsidRDefault="005E6180" w:rsidP="00034400">
            <w:pPr>
              <w:rPr>
                <w:lang w:val="sr-Latn-RS" w:eastAsia="sl-SI"/>
              </w:rPr>
            </w:pPr>
            <w:r w:rsidRPr="00215715">
              <w:rPr>
                <w:lang w:val="sr-Latn-RS" w:eastAsia="sl-SI"/>
              </w:rPr>
              <w:lastRenderedPageBreak/>
              <w:t>Strengthening Capacities for Higher Education of Pain Medicine in Western Balkan countries – HEPMP</w:t>
            </w:r>
          </w:p>
          <w:p w14:paraId="4F5132C4" w14:textId="77777777" w:rsidR="005E6180" w:rsidRPr="00215715" w:rsidRDefault="005E6180" w:rsidP="005E6180">
            <w:pPr>
              <w:jc w:val="center"/>
              <w:rPr>
                <w:lang w:val="sr-Latn-RS" w:eastAsia="sl-SI"/>
              </w:rPr>
            </w:pPr>
            <w:r w:rsidRPr="00215715">
              <w:rPr>
                <w:lang w:val="sr-Latn-RS" w:eastAsia="sl-SI"/>
              </w:rPr>
              <w:t>Project number: 585927-EPP-1-2017-1-RS-EPPKA2-CBHE-JP</w:t>
            </w:r>
          </w:p>
          <w:p w14:paraId="791572EC" w14:textId="77777777" w:rsidR="005E6180" w:rsidRPr="00215715" w:rsidRDefault="005E6180" w:rsidP="005E6180">
            <w:pPr>
              <w:jc w:val="center"/>
              <w:rPr>
                <w:lang w:val="sr-Latn-RS" w:eastAsia="sl-SI"/>
              </w:rPr>
            </w:pPr>
          </w:p>
        </w:tc>
      </w:tr>
      <w:tr w:rsidR="005E6180" w:rsidRPr="00215715" w14:paraId="06FA23CB" w14:textId="77777777" w:rsidTr="005E6180">
        <w:trPr>
          <w:trHeight w:val="6669"/>
        </w:trPr>
        <w:tc>
          <w:tcPr>
            <w:tcW w:w="9289" w:type="dxa"/>
            <w:vAlign w:val="bottom"/>
          </w:tcPr>
          <w:p w14:paraId="2043207C" w14:textId="77777777" w:rsidR="005E6180" w:rsidRPr="00215715" w:rsidRDefault="005E6180" w:rsidP="005E6180">
            <w:pPr>
              <w:jc w:val="left"/>
              <w:rPr>
                <w:lang w:val="sr-Latn-RS" w:eastAsia="sl-SI"/>
              </w:rPr>
            </w:pPr>
            <w:r w:rsidRPr="00215715">
              <w:rPr>
                <w:lang w:val="sr-Latn-RS" w:eastAsia="sl-SI"/>
              </w:rPr>
              <w:t xml:space="preserve">Contacts: </w:t>
            </w:r>
          </w:p>
          <w:p w14:paraId="4A41ED8B" w14:textId="77777777" w:rsidR="008F40AD" w:rsidRPr="00215715" w:rsidRDefault="008F40AD" w:rsidP="005E6180">
            <w:pPr>
              <w:jc w:val="left"/>
              <w:rPr>
                <w:b/>
                <w:lang w:val="sr-Latn-RS" w:eastAsia="sl-SI"/>
              </w:rPr>
            </w:pPr>
            <w:r w:rsidRPr="00215715">
              <w:rPr>
                <w:lang w:val="sr-Latn-RS" w:eastAsia="sl-SI"/>
              </w:rPr>
              <w:t xml:space="preserve">Prof. dr </w:t>
            </w:r>
            <w:r w:rsidRPr="00215715">
              <w:rPr>
                <w:b/>
                <w:lang w:val="sr-Latn-RS" w:eastAsia="sl-SI"/>
              </w:rPr>
              <w:t>Predrag Stevanovic</w:t>
            </w:r>
          </w:p>
          <w:p w14:paraId="5E42C5AF" w14:textId="77777777" w:rsidR="008F40AD" w:rsidRPr="00215715" w:rsidRDefault="008F40AD" w:rsidP="005E6180">
            <w:pPr>
              <w:jc w:val="left"/>
              <w:rPr>
                <w:lang w:val="sr-Latn-RS" w:eastAsia="sl-SI"/>
              </w:rPr>
            </w:pPr>
            <w:r w:rsidRPr="00215715">
              <w:rPr>
                <w:lang w:val="sr-Latn-RS" w:eastAsia="sl-SI"/>
              </w:rPr>
              <w:t xml:space="preserve">Email: </w:t>
            </w:r>
            <w:hyperlink r:id="rId9" w:history="1">
              <w:r w:rsidRPr="00215715">
                <w:rPr>
                  <w:rStyle w:val="Hyperlink"/>
                  <w:lang w:val="sr-Latn-RS" w:eastAsia="sl-SI"/>
                </w:rPr>
                <w:t>hepmperasmus.ka2@med.bg.ac.rs</w:t>
              </w:r>
            </w:hyperlink>
          </w:p>
          <w:p w14:paraId="42A6C2C2" w14:textId="77777777" w:rsidR="008F40AD" w:rsidRPr="00215715" w:rsidRDefault="005E6180" w:rsidP="005E6180">
            <w:pPr>
              <w:jc w:val="left"/>
              <w:rPr>
                <w:lang w:val="sr-Latn-RS" w:eastAsia="sl-SI"/>
              </w:rPr>
            </w:pPr>
            <w:r w:rsidRPr="00215715">
              <w:rPr>
                <w:lang w:val="sr-Latn-RS" w:eastAsia="sl-SI"/>
              </w:rPr>
              <w:t xml:space="preserve">Internet portal: </w:t>
            </w:r>
            <w:hyperlink r:id="rId10" w:history="1">
              <w:r w:rsidR="008F40AD" w:rsidRPr="00215715">
                <w:rPr>
                  <w:rStyle w:val="Hyperlink"/>
                  <w:lang w:val="sr-Latn-RS" w:eastAsia="sl-SI"/>
                </w:rPr>
                <w:t>www.hepmp.med.bg.ac.rs</w:t>
              </w:r>
            </w:hyperlink>
          </w:p>
          <w:p w14:paraId="128A73CE" w14:textId="77777777" w:rsidR="005E6180" w:rsidRPr="00215715" w:rsidRDefault="005E6180" w:rsidP="005E6180">
            <w:pPr>
              <w:jc w:val="left"/>
              <w:rPr>
                <w:lang w:val="sr-Latn-RS" w:eastAsia="sl-SI"/>
              </w:rPr>
            </w:pPr>
            <w:r w:rsidRPr="00215715">
              <w:rPr>
                <w:lang w:val="sr-Latn-RS" w:eastAsia="sl-SI"/>
              </w:rPr>
              <w:t xml:space="preserve">Forum: </w:t>
            </w:r>
            <w:hyperlink r:id="rId11" w:history="1">
              <w:r w:rsidRPr="00215715">
                <w:rPr>
                  <w:rStyle w:val="Hyperlink"/>
                  <w:lang w:val="sr-Latn-RS" w:eastAsia="sl-SI"/>
                </w:rPr>
                <w:t>www.hepmp.med.bg.ac.rs/forum/</w:t>
              </w:r>
            </w:hyperlink>
          </w:p>
          <w:p w14:paraId="64896BD1" w14:textId="77777777" w:rsidR="005E6180" w:rsidRPr="00215715" w:rsidRDefault="005E6180" w:rsidP="005E6180">
            <w:pPr>
              <w:jc w:val="left"/>
              <w:rPr>
                <w:lang w:val="sr-Latn-RS" w:eastAsia="sl-SI"/>
              </w:rPr>
            </w:pPr>
            <w:r w:rsidRPr="00215715">
              <w:rPr>
                <w:lang w:val="sr-Latn-RS" w:eastAsia="sl-SI"/>
              </w:rPr>
              <w:t>Telephone: +381 11 3636396</w:t>
            </w:r>
          </w:p>
        </w:tc>
      </w:tr>
      <w:tr w:rsidR="005E6180" w:rsidRPr="00215715" w14:paraId="2633DC3F" w14:textId="77777777" w:rsidTr="005E6180">
        <w:trPr>
          <w:trHeight w:val="4100"/>
        </w:trPr>
        <w:tc>
          <w:tcPr>
            <w:tcW w:w="9289" w:type="dxa"/>
            <w:vAlign w:val="bottom"/>
          </w:tcPr>
          <w:p w14:paraId="453BE7AE" w14:textId="77777777" w:rsidR="005E6180" w:rsidRPr="00215715" w:rsidRDefault="005E6180" w:rsidP="005E6180">
            <w:pPr>
              <w:jc w:val="center"/>
              <w:rPr>
                <w:lang w:val="sr-Latn-RS" w:eastAsia="sl-SI"/>
              </w:rPr>
            </w:pPr>
            <w:r w:rsidRPr="00215715">
              <w:rPr>
                <w:i/>
                <w:sz w:val="18"/>
                <w:lang w:val="sr-Latn-RS"/>
              </w:rPr>
              <w:t>This project has been funded with support from the European Commission. This publication [communication] reflects the views only of the author, and the Commission cannot be held responsible for any use which ma y be made of the information contained therein.</w:t>
            </w:r>
          </w:p>
        </w:tc>
      </w:tr>
    </w:tbl>
    <w:p w14:paraId="2E953527" w14:textId="77777777" w:rsidR="003205AC" w:rsidRPr="00215715" w:rsidRDefault="003205AC" w:rsidP="00D8541F">
      <w:pPr>
        <w:rPr>
          <w:lang w:val="sr-Latn-RS" w:eastAsia="sl-SI"/>
        </w:rPr>
      </w:pPr>
    </w:p>
    <w:sectPr w:rsidR="003205AC" w:rsidRPr="00215715" w:rsidSect="00E077F4">
      <w:headerReference w:type="default" r:id="rId12"/>
      <w:footerReference w:type="default" r:id="rId13"/>
      <w:footerReference w:type="first" r:id="rId14"/>
      <w:footnotePr>
        <w:pos w:val="beneathText"/>
      </w:footnotePr>
      <w:pgSz w:w="11907" w:h="16840" w:code="9"/>
      <w:pgMar w:top="1417" w:right="1417" w:bottom="1417" w:left="1417" w:header="561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5A38" w14:textId="77777777" w:rsidR="007322D1" w:rsidRDefault="007322D1" w:rsidP="00D8541F">
      <w:r>
        <w:separator/>
      </w:r>
    </w:p>
  </w:endnote>
  <w:endnote w:type="continuationSeparator" w:id="0">
    <w:p w14:paraId="69197693" w14:textId="77777777" w:rsidR="007322D1" w:rsidRDefault="007322D1" w:rsidP="00D8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94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C156A" w14:textId="77777777" w:rsidR="00643F9E" w:rsidRDefault="00643F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7E4585" w14:textId="77777777" w:rsidR="00643F9E" w:rsidRDefault="00643F9E" w:rsidP="00D854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9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60386" w14:textId="77777777" w:rsidR="00643F9E" w:rsidRDefault="00643F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21F5DD" w14:textId="77777777" w:rsidR="00643F9E" w:rsidRDefault="00643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21991" w14:textId="77777777" w:rsidR="007322D1" w:rsidRDefault="007322D1" w:rsidP="00D8541F">
      <w:r>
        <w:separator/>
      </w:r>
    </w:p>
  </w:footnote>
  <w:footnote w:type="continuationSeparator" w:id="0">
    <w:p w14:paraId="081DE0A0" w14:textId="77777777" w:rsidR="007322D1" w:rsidRDefault="007322D1" w:rsidP="00D8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4426"/>
      <w:gridCol w:w="2558"/>
    </w:tblGrid>
    <w:tr w:rsidR="00643F9E" w14:paraId="454E11C7" w14:textId="77777777" w:rsidTr="00100EAD">
      <w:tc>
        <w:tcPr>
          <w:tcW w:w="2235" w:type="dxa"/>
        </w:tcPr>
        <w:p w14:paraId="50E6AB7E" w14:textId="77777777" w:rsidR="00643F9E" w:rsidRDefault="00643F9E" w:rsidP="00D8541F">
          <w:pPr>
            <w:pStyle w:val="BodyText"/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5778C4D2" wp14:editId="4F237F29">
                <wp:extent cx="1326726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PM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616" cy="457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3C4DEBFF" w14:textId="77777777" w:rsidR="00643F9E" w:rsidRPr="00B21E71" w:rsidRDefault="00643F9E" w:rsidP="00D8541F">
          <w:pPr>
            <w:pStyle w:val="NoSpacing"/>
            <w:rPr>
              <w:bCs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 xml:space="preserve">Strengthening Capacities for Higher Education of Pain Medicine in Western Balkan countries – </w:t>
          </w:r>
          <w:r w:rsidRPr="00B21E71">
            <w:rPr>
              <w:bCs/>
            </w:rPr>
            <w:t>HEPMP</w:t>
          </w:r>
        </w:p>
      </w:tc>
      <w:tc>
        <w:tcPr>
          <w:tcW w:w="2586" w:type="dxa"/>
        </w:tcPr>
        <w:p w14:paraId="14636CB5" w14:textId="77777777" w:rsidR="00643F9E" w:rsidRDefault="00643F9E" w:rsidP="00D8541F">
          <w:pPr>
            <w:pStyle w:val="BodyText"/>
          </w:pPr>
          <w:r w:rsidRPr="00941AC8">
            <w:rPr>
              <w:noProof/>
              <w:lang w:val="en-GB" w:eastAsia="en-GB" w:bidi="ar-SA"/>
            </w:rPr>
            <w:drawing>
              <wp:inline distT="0" distB="0" distL="0" distR="0" wp14:anchorId="1FD21DB1" wp14:editId="5AC9C1F3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0CD7B5" w14:textId="77777777" w:rsidR="00643F9E" w:rsidRDefault="00643F9E" w:rsidP="00D8541F">
    <w:pPr>
      <w:pStyle w:val="BodyText"/>
    </w:pPr>
  </w:p>
  <w:p w14:paraId="0ABC217C" w14:textId="77777777" w:rsidR="00643F9E" w:rsidRDefault="00643F9E" w:rsidP="00D854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974C37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9457F"/>
    <w:multiLevelType w:val="hybridMultilevel"/>
    <w:tmpl w:val="D960B70C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631"/>
    <w:multiLevelType w:val="hybridMultilevel"/>
    <w:tmpl w:val="C09C9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94D"/>
    <w:multiLevelType w:val="hybridMultilevel"/>
    <w:tmpl w:val="1354DF6A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3DBA"/>
    <w:multiLevelType w:val="hybridMultilevel"/>
    <w:tmpl w:val="7A5CA09A"/>
    <w:lvl w:ilvl="0" w:tplc="D7B8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BFD"/>
    <w:multiLevelType w:val="hybridMultilevel"/>
    <w:tmpl w:val="AC4A08C2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0065"/>
    <w:multiLevelType w:val="hybridMultilevel"/>
    <w:tmpl w:val="748A3F48"/>
    <w:lvl w:ilvl="0" w:tplc="4A24B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4F8AE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C00000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75A8"/>
    <w:multiLevelType w:val="multilevel"/>
    <w:tmpl w:val="012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77173"/>
    <w:multiLevelType w:val="hybridMultilevel"/>
    <w:tmpl w:val="0E82D60E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C6D45"/>
    <w:multiLevelType w:val="hybridMultilevel"/>
    <w:tmpl w:val="A25AF75A"/>
    <w:lvl w:ilvl="0" w:tplc="4A24B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61DF"/>
    <w:multiLevelType w:val="hybridMultilevel"/>
    <w:tmpl w:val="E5CA2E4A"/>
    <w:lvl w:ilvl="0" w:tplc="D7B8356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2D95"/>
    <w:multiLevelType w:val="hybridMultilevel"/>
    <w:tmpl w:val="CA0838BA"/>
    <w:lvl w:ilvl="0" w:tplc="2D60155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A727B"/>
    <w:multiLevelType w:val="hybridMultilevel"/>
    <w:tmpl w:val="5274B4CC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02B1"/>
    <w:multiLevelType w:val="hybridMultilevel"/>
    <w:tmpl w:val="E9D082FC"/>
    <w:lvl w:ilvl="0" w:tplc="A2D6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33711"/>
    <w:multiLevelType w:val="hybridMultilevel"/>
    <w:tmpl w:val="916A33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30E89"/>
    <w:multiLevelType w:val="hybridMultilevel"/>
    <w:tmpl w:val="FDA68ECA"/>
    <w:lvl w:ilvl="0" w:tplc="D7B8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6870"/>
    <w:multiLevelType w:val="hybridMultilevel"/>
    <w:tmpl w:val="B2B8A8E2"/>
    <w:lvl w:ilvl="0" w:tplc="4A24B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8" w15:restartNumberingAfterBreak="0">
    <w:nsid w:val="65DC70D6"/>
    <w:multiLevelType w:val="hybridMultilevel"/>
    <w:tmpl w:val="9B708D5C"/>
    <w:lvl w:ilvl="0" w:tplc="7AA457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60CFC"/>
    <w:multiLevelType w:val="hybridMultilevel"/>
    <w:tmpl w:val="06C8A382"/>
    <w:lvl w:ilvl="0" w:tplc="2D60155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83F85"/>
    <w:multiLevelType w:val="hybridMultilevel"/>
    <w:tmpl w:val="D9760E20"/>
    <w:lvl w:ilvl="0" w:tplc="A2D66C3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4F81BD" w:themeColor="accent1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D0642EB"/>
    <w:multiLevelType w:val="hybridMultilevel"/>
    <w:tmpl w:val="DC1A88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86096"/>
    <w:multiLevelType w:val="hybridMultilevel"/>
    <w:tmpl w:val="3AF06722"/>
    <w:lvl w:ilvl="0" w:tplc="4A24B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E6F61"/>
    <w:multiLevelType w:val="hybridMultilevel"/>
    <w:tmpl w:val="49BAFC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0"/>
  </w:num>
  <w:num w:numId="5">
    <w:abstractNumId w:val="11"/>
  </w:num>
  <w:num w:numId="6">
    <w:abstractNumId w:val="15"/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2"/>
  </w:num>
  <w:num w:numId="19">
    <w:abstractNumId w:val="14"/>
  </w:num>
  <w:num w:numId="20">
    <w:abstractNumId w:val="22"/>
  </w:num>
  <w:num w:numId="21">
    <w:abstractNumId w:val="7"/>
  </w:num>
  <w:num w:numId="22">
    <w:abstractNumId w:val="18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791"/>
    <w:rsid w:val="00005D08"/>
    <w:rsid w:val="000064B6"/>
    <w:rsid w:val="0001738F"/>
    <w:rsid w:val="000237B0"/>
    <w:rsid w:val="000341D6"/>
    <w:rsid w:val="00034400"/>
    <w:rsid w:val="0004689E"/>
    <w:rsid w:val="00047D38"/>
    <w:rsid w:val="00051F8B"/>
    <w:rsid w:val="00053A35"/>
    <w:rsid w:val="000673B0"/>
    <w:rsid w:val="00074D5E"/>
    <w:rsid w:val="000825B5"/>
    <w:rsid w:val="000831F3"/>
    <w:rsid w:val="00083CE1"/>
    <w:rsid w:val="00090499"/>
    <w:rsid w:val="0009219B"/>
    <w:rsid w:val="00096DBF"/>
    <w:rsid w:val="000A110F"/>
    <w:rsid w:val="000A702C"/>
    <w:rsid w:val="000D0509"/>
    <w:rsid w:val="000D07F9"/>
    <w:rsid w:val="000D0CAE"/>
    <w:rsid w:val="000E0157"/>
    <w:rsid w:val="000E05C3"/>
    <w:rsid w:val="000E0F67"/>
    <w:rsid w:val="000F012F"/>
    <w:rsid w:val="00100EAD"/>
    <w:rsid w:val="001029FA"/>
    <w:rsid w:val="00106ED7"/>
    <w:rsid w:val="00116BB0"/>
    <w:rsid w:val="0012706D"/>
    <w:rsid w:val="00132819"/>
    <w:rsid w:val="00132BB4"/>
    <w:rsid w:val="001362D2"/>
    <w:rsid w:val="00143543"/>
    <w:rsid w:val="00151396"/>
    <w:rsid w:val="001516D3"/>
    <w:rsid w:val="00151D33"/>
    <w:rsid w:val="0015247C"/>
    <w:rsid w:val="001779FE"/>
    <w:rsid w:val="00181D91"/>
    <w:rsid w:val="00190C9A"/>
    <w:rsid w:val="00195F5D"/>
    <w:rsid w:val="001A21A4"/>
    <w:rsid w:val="001B5FBB"/>
    <w:rsid w:val="001D05D0"/>
    <w:rsid w:val="001E44EF"/>
    <w:rsid w:val="001E6E78"/>
    <w:rsid w:val="001E74C7"/>
    <w:rsid w:val="001E78A7"/>
    <w:rsid w:val="001F71CF"/>
    <w:rsid w:val="00210644"/>
    <w:rsid w:val="00211200"/>
    <w:rsid w:val="00215715"/>
    <w:rsid w:val="002176BD"/>
    <w:rsid w:val="00220B1F"/>
    <w:rsid w:val="00222BC5"/>
    <w:rsid w:val="00225FFE"/>
    <w:rsid w:val="0023500F"/>
    <w:rsid w:val="00237E72"/>
    <w:rsid w:val="00242A86"/>
    <w:rsid w:val="00257CA9"/>
    <w:rsid w:val="002630F5"/>
    <w:rsid w:val="00263DF6"/>
    <w:rsid w:val="00264C4B"/>
    <w:rsid w:val="00272F45"/>
    <w:rsid w:val="00280241"/>
    <w:rsid w:val="00286448"/>
    <w:rsid w:val="002911BD"/>
    <w:rsid w:val="002A2CC6"/>
    <w:rsid w:val="002A3547"/>
    <w:rsid w:val="002A735A"/>
    <w:rsid w:val="002B3371"/>
    <w:rsid w:val="002C7787"/>
    <w:rsid w:val="002D3908"/>
    <w:rsid w:val="002D6F46"/>
    <w:rsid w:val="002E617A"/>
    <w:rsid w:val="002E6E1A"/>
    <w:rsid w:val="002F11D8"/>
    <w:rsid w:val="002F3FAB"/>
    <w:rsid w:val="00303791"/>
    <w:rsid w:val="00313E84"/>
    <w:rsid w:val="00314DA0"/>
    <w:rsid w:val="00315A81"/>
    <w:rsid w:val="003205AC"/>
    <w:rsid w:val="0032106E"/>
    <w:rsid w:val="00332B0E"/>
    <w:rsid w:val="00340758"/>
    <w:rsid w:val="00346F59"/>
    <w:rsid w:val="003477B1"/>
    <w:rsid w:val="0036112D"/>
    <w:rsid w:val="00361C90"/>
    <w:rsid w:val="00375118"/>
    <w:rsid w:val="0037515C"/>
    <w:rsid w:val="00395127"/>
    <w:rsid w:val="003A6AF9"/>
    <w:rsid w:val="003B7123"/>
    <w:rsid w:val="003B7A73"/>
    <w:rsid w:val="003C5121"/>
    <w:rsid w:val="003C7D49"/>
    <w:rsid w:val="003D05DA"/>
    <w:rsid w:val="003D77A3"/>
    <w:rsid w:val="003E1649"/>
    <w:rsid w:val="003E6448"/>
    <w:rsid w:val="003E7267"/>
    <w:rsid w:val="003E7BAB"/>
    <w:rsid w:val="003F46EE"/>
    <w:rsid w:val="0040053D"/>
    <w:rsid w:val="00406782"/>
    <w:rsid w:val="004101DD"/>
    <w:rsid w:val="004102E0"/>
    <w:rsid w:val="004163F3"/>
    <w:rsid w:val="00417EA4"/>
    <w:rsid w:val="00422DD5"/>
    <w:rsid w:val="00423D84"/>
    <w:rsid w:val="00441C70"/>
    <w:rsid w:val="0044305D"/>
    <w:rsid w:val="00445760"/>
    <w:rsid w:val="00446495"/>
    <w:rsid w:val="004800A2"/>
    <w:rsid w:val="00483FBD"/>
    <w:rsid w:val="00485AE7"/>
    <w:rsid w:val="004866CC"/>
    <w:rsid w:val="004B0B45"/>
    <w:rsid w:val="004D1BB2"/>
    <w:rsid w:val="004D78AF"/>
    <w:rsid w:val="004E1DF7"/>
    <w:rsid w:val="0050206A"/>
    <w:rsid w:val="00507879"/>
    <w:rsid w:val="0051026A"/>
    <w:rsid w:val="00514B9E"/>
    <w:rsid w:val="00524C05"/>
    <w:rsid w:val="00527600"/>
    <w:rsid w:val="00530874"/>
    <w:rsid w:val="005338DA"/>
    <w:rsid w:val="005545AB"/>
    <w:rsid w:val="005604D1"/>
    <w:rsid w:val="00561AEE"/>
    <w:rsid w:val="005753D1"/>
    <w:rsid w:val="005760AF"/>
    <w:rsid w:val="00583168"/>
    <w:rsid w:val="00586A93"/>
    <w:rsid w:val="00591C38"/>
    <w:rsid w:val="00592DE9"/>
    <w:rsid w:val="005A3B95"/>
    <w:rsid w:val="005B1DD3"/>
    <w:rsid w:val="005B45F0"/>
    <w:rsid w:val="005D0814"/>
    <w:rsid w:val="005E07B0"/>
    <w:rsid w:val="005E3BBC"/>
    <w:rsid w:val="005E5880"/>
    <w:rsid w:val="005E6180"/>
    <w:rsid w:val="005E7077"/>
    <w:rsid w:val="005F1950"/>
    <w:rsid w:val="005F6CCB"/>
    <w:rsid w:val="0060503B"/>
    <w:rsid w:val="00611687"/>
    <w:rsid w:val="00626E41"/>
    <w:rsid w:val="00632335"/>
    <w:rsid w:val="006324AA"/>
    <w:rsid w:val="006436E9"/>
    <w:rsid w:val="00643F9E"/>
    <w:rsid w:val="006504D6"/>
    <w:rsid w:val="00662CFF"/>
    <w:rsid w:val="0066447E"/>
    <w:rsid w:val="0066667E"/>
    <w:rsid w:val="00667A23"/>
    <w:rsid w:val="00682226"/>
    <w:rsid w:val="0069015C"/>
    <w:rsid w:val="00690B5D"/>
    <w:rsid w:val="006B00C7"/>
    <w:rsid w:val="006B569C"/>
    <w:rsid w:val="006C1CFB"/>
    <w:rsid w:val="006C646D"/>
    <w:rsid w:val="006C64A2"/>
    <w:rsid w:val="006D5654"/>
    <w:rsid w:val="006D6343"/>
    <w:rsid w:val="006F215D"/>
    <w:rsid w:val="00702F9E"/>
    <w:rsid w:val="00716DDC"/>
    <w:rsid w:val="00717988"/>
    <w:rsid w:val="00731936"/>
    <w:rsid w:val="007322D1"/>
    <w:rsid w:val="00741B85"/>
    <w:rsid w:val="00745013"/>
    <w:rsid w:val="00751E0D"/>
    <w:rsid w:val="0077162A"/>
    <w:rsid w:val="00771721"/>
    <w:rsid w:val="00775F67"/>
    <w:rsid w:val="00781126"/>
    <w:rsid w:val="00782EC0"/>
    <w:rsid w:val="00784A9C"/>
    <w:rsid w:val="00787D87"/>
    <w:rsid w:val="00791D5E"/>
    <w:rsid w:val="00797DB2"/>
    <w:rsid w:val="007A049E"/>
    <w:rsid w:val="007A4E68"/>
    <w:rsid w:val="007A5865"/>
    <w:rsid w:val="007A5FB9"/>
    <w:rsid w:val="007B1819"/>
    <w:rsid w:val="007B3AD7"/>
    <w:rsid w:val="007C0DA4"/>
    <w:rsid w:val="007C19BA"/>
    <w:rsid w:val="007C616C"/>
    <w:rsid w:val="007D02A1"/>
    <w:rsid w:val="007D12C4"/>
    <w:rsid w:val="007E1E06"/>
    <w:rsid w:val="007E2594"/>
    <w:rsid w:val="007E260B"/>
    <w:rsid w:val="007F27AF"/>
    <w:rsid w:val="007F2C62"/>
    <w:rsid w:val="007F60CA"/>
    <w:rsid w:val="008022B9"/>
    <w:rsid w:val="008141F4"/>
    <w:rsid w:val="008144A1"/>
    <w:rsid w:val="00814AEE"/>
    <w:rsid w:val="008151CA"/>
    <w:rsid w:val="0082097A"/>
    <w:rsid w:val="00834137"/>
    <w:rsid w:val="00834307"/>
    <w:rsid w:val="00847945"/>
    <w:rsid w:val="008549D9"/>
    <w:rsid w:val="00861FB3"/>
    <w:rsid w:val="00864113"/>
    <w:rsid w:val="008753F6"/>
    <w:rsid w:val="00877CC5"/>
    <w:rsid w:val="008830E6"/>
    <w:rsid w:val="0089109B"/>
    <w:rsid w:val="00894C80"/>
    <w:rsid w:val="00896495"/>
    <w:rsid w:val="008B0542"/>
    <w:rsid w:val="008E09BA"/>
    <w:rsid w:val="008E3F5A"/>
    <w:rsid w:val="008E5B11"/>
    <w:rsid w:val="008E613E"/>
    <w:rsid w:val="008F40AD"/>
    <w:rsid w:val="00901950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54A37"/>
    <w:rsid w:val="00954B10"/>
    <w:rsid w:val="00954E2D"/>
    <w:rsid w:val="009623A9"/>
    <w:rsid w:val="00966B56"/>
    <w:rsid w:val="00971102"/>
    <w:rsid w:val="009812FC"/>
    <w:rsid w:val="0098202A"/>
    <w:rsid w:val="00983962"/>
    <w:rsid w:val="009841CB"/>
    <w:rsid w:val="00993D7F"/>
    <w:rsid w:val="009A0E18"/>
    <w:rsid w:val="009A500C"/>
    <w:rsid w:val="009B143A"/>
    <w:rsid w:val="009D4FD3"/>
    <w:rsid w:val="009E11D3"/>
    <w:rsid w:val="009E4F0D"/>
    <w:rsid w:val="009E6559"/>
    <w:rsid w:val="009F522A"/>
    <w:rsid w:val="009F77A3"/>
    <w:rsid w:val="00A0458A"/>
    <w:rsid w:val="00A15FD7"/>
    <w:rsid w:val="00A17E73"/>
    <w:rsid w:val="00A21128"/>
    <w:rsid w:val="00A22E70"/>
    <w:rsid w:val="00A32612"/>
    <w:rsid w:val="00A35B4F"/>
    <w:rsid w:val="00A46A71"/>
    <w:rsid w:val="00A67DA7"/>
    <w:rsid w:val="00A70E8D"/>
    <w:rsid w:val="00A77E8D"/>
    <w:rsid w:val="00A83742"/>
    <w:rsid w:val="00A83EFB"/>
    <w:rsid w:val="00AB6F49"/>
    <w:rsid w:val="00AD2967"/>
    <w:rsid w:val="00AD7515"/>
    <w:rsid w:val="00AE140B"/>
    <w:rsid w:val="00AE48B4"/>
    <w:rsid w:val="00AE60AC"/>
    <w:rsid w:val="00AF43A7"/>
    <w:rsid w:val="00AF4B3F"/>
    <w:rsid w:val="00AF6032"/>
    <w:rsid w:val="00AF626B"/>
    <w:rsid w:val="00AF75BE"/>
    <w:rsid w:val="00B02282"/>
    <w:rsid w:val="00B12148"/>
    <w:rsid w:val="00B13005"/>
    <w:rsid w:val="00B17EFA"/>
    <w:rsid w:val="00B21E71"/>
    <w:rsid w:val="00B34894"/>
    <w:rsid w:val="00B4758A"/>
    <w:rsid w:val="00B527CA"/>
    <w:rsid w:val="00B56CC8"/>
    <w:rsid w:val="00B577F0"/>
    <w:rsid w:val="00B76690"/>
    <w:rsid w:val="00B841EC"/>
    <w:rsid w:val="00BA57C0"/>
    <w:rsid w:val="00BD07DB"/>
    <w:rsid w:val="00BD1EEF"/>
    <w:rsid w:val="00BE2677"/>
    <w:rsid w:val="00BE3FF9"/>
    <w:rsid w:val="00BF0C99"/>
    <w:rsid w:val="00C16570"/>
    <w:rsid w:val="00C27C63"/>
    <w:rsid w:val="00C3074C"/>
    <w:rsid w:val="00C32546"/>
    <w:rsid w:val="00C40FA6"/>
    <w:rsid w:val="00C62DF5"/>
    <w:rsid w:val="00C65364"/>
    <w:rsid w:val="00C743AE"/>
    <w:rsid w:val="00C74460"/>
    <w:rsid w:val="00C824B0"/>
    <w:rsid w:val="00C90FC1"/>
    <w:rsid w:val="00C911B8"/>
    <w:rsid w:val="00C94F48"/>
    <w:rsid w:val="00C96D8D"/>
    <w:rsid w:val="00C9780D"/>
    <w:rsid w:val="00CA37CD"/>
    <w:rsid w:val="00CB1BFC"/>
    <w:rsid w:val="00CC494E"/>
    <w:rsid w:val="00CF052F"/>
    <w:rsid w:val="00CF6281"/>
    <w:rsid w:val="00D034B5"/>
    <w:rsid w:val="00D06BB8"/>
    <w:rsid w:val="00D27313"/>
    <w:rsid w:val="00D31A73"/>
    <w:rsid w:val="00D321EC"/>
    <w:rsid w:val="00D40FB1"/>
    <w:rsid w:val="00D41393"/>
    <w:rsid w:val="00D445ED"/>
    <w:rsid w:val="00D51A3E"/>
    <w:rsid w:val="00D54C0C"/>
    <w:rsid w:val="00D74466"/>
    <w:rsid w:val="00D8541F"/>
    <w:rsid w:val="00D85604"/>
    <w:rsid w:val="00DD6755"/>
    <w:rsid w:val="00DF0965"/>
    <w:rsid w:val="00DF661A"/>
    <w:rsid w:val="00E018F8"/>
    <w:rsid w:val="00E077F4"/>
    <w:rsid w:val="00E12A3F"/>
    <w:rsid w:val="00E13121"/>
    <w:rsid w:val="00E256A8"/>
    <w:rsid w:val="00E43951"/>
    <w:rsid w:val="00E50D17"/>
    <w:rsid w:val="00E57AEA"/>
    <w:rsid w:val="00E57C3D"/>
    <w:rsid w:val="00E6240D"/>
    <w:rsid w:val="00E62A1D"/>
    <w:rsid w:val="00E6578E"/>
    <w:rsid w:val="00E70CD1"/>
    <w:rsid w:val="00E8190B"/>
    <w:rsid w:val="00E82BA2"/>
    <w:rsid w:val="00E843F7"/>
    <w:rsid w:val="00E85964"/>
    <w:rsid w:val="00EA6356"/>
    <w:rsid w:val="00EA7F6E"/>
    <w:rsid w:val="00EC0E26"/>
    <w:rsid w:val="00EC42B9"/>
    <w:rsid w:val="00EC6240"/>
    <w:rsid w:val="00EC69DF"/>
    <w:rsid w:val="00EE2F75"/>
    <w:rsid w:val="00EE7E7B"/>
    <w:rsid w:val="00F115F5"/>
    <w:rsid w:val="00F11C92"/>
    <w:rsid w:val="00F12C7C"/>
    <w:rsid w:val="00F25283"/>
    <w:rsid w:val="00F27049"/>
    <w:rsid w:val="00F305BF"/>
    <w:rsid w:val="00F34216"/>
    <w:rsid w:val="00F34547"/>
    <w:rsid w:val="00F56EFF"/>
    <w:rsid w:val="00F65441"/>
    <w:rsid w:val="00F66384"/>
    <w:rsid w:val="00F801C3"/>
    <w:rsid w:val="00F922AF"/>
    <w:rsid w:val="00FA3218"/>
    <w:rsid w:val="00FB0A27"/>
    <w:rsid w:val="00FB1EC3"/>
    <w:rsid w:val="00FC4FBC"/>
    <w:rsid w:val="00FC5F0F"/>
    <w:rsid w:val="00FC6845"/>
    <w:rsid w:val="00FC6962"/>
    <w:rsid w:val="00FD2DF0"/>
    <w:rsid w:val="00FE210F"/>
    <w:rsid w:val="00FF5039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D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ED7"/>
    <w:pPr>
      <w:spacing w:line="300" w:lineRule="auto"/>
      <w:jc w:val="both"/>
    </w:pPr>
    <w:rPr>
      <w:rFonts w:ascii="Book Antiqua" w:eastAsiaTheme="minorHAnsi" w:hAnsi="Book Antiqua" w:cstheme="minorBidi"/>
      <w:sz w:val="24"/>
      <w:szCs w:val="22"/>
      <w:lang w:val="en-GB" w:bidi="ar-SA"/>
    </w:rPr>
  </w:style>
  <w:style w:type="paragraph" w:styleId="Heading1">
    <w:name w:val="heading 1"/>
    <w:basedOn w:val="Heading"/>
    <w:next w:val="BodyText"/>
    <w:qFormat/>
    <w:rsid w:val="000064B6"/>
    <w:pPr>
      <w:spacing w:before="120" w:after="120"/>
      <w:ind w:left="0" w:right="0"/>
      <w:outlineLvl w:val="0"/>
    </w:pPr>
    <w:rPr>
      <w:rFonts w:ascii="Book Antiqua" w:hAnsi="Book Antiqua"/>
      <w:b/>
      <w:bCs/>
      <w:color w:val="C00000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4B6"/>
    <w:pPr>
      <w:keepNext/>
      <w:keepLines/>
      <w:spacing w:before="40" w:after="12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4B6"/>
    <w:pPr>
      <w:keepNext/>
      <w:keepLines/>
      <w:spacing w:before="120" w:after="120"/>
      <w:outlineLvl w:val="2"/>
    </w:pPr>
    <w:rPr>
      <w:rFonts w:eastAsiaTheme="majorEastAsia" w:cstheme="majorBidi"/>
      <w:color w:val="C0000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uiPriority w:val="99"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0064B6"/>
    <w:pPr>
      <w:widowControl w:val="0"/>
      <w:suppressLineNumbers/>
      <w:suppressAutoHyphens/>
      <w:spacing w:before="120" w:after="120"/>
      <w:ind w:left="85" w:right="85"/>
    </w:pPr>
    <w:rPr>
      <w:rFonts w:eastAsia="Times New Roman" w:cs="Times New Roman"/>
      <w:b/>
      <w:i/>
      <w:iCs/>
      <w:color w:val="C00000"/>
      <w:sz w:val="20"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AEE"/>
    <w:pPr>
      <w:widowControl w:val="0"/>
      <w:suppressAutoHyphens/>
      <w:ind w:left="720" w:right="85"/>
      <w:contextualSpacing/>
    </w:pPr>
    <w:rPr>
      <w:rFonts w:eastAsia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64B6"/>
    <w:rPr>
      <w:rFonts w:ascii="Book Antiqua" w:eastAsiaTheme="majorEastAsia" w:hAnsi="Book Antiqua" w:cstheme="majorBidi"/>
      <w:b/>
      <w:color w:val="C00000"/>
      <w:sz w:val="26"/>
      <w:szCs w:val="26"/>
      <w:lang w:val="en-GB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064B6"/>
    <w:rPr>
      <w:rFonts w:ascii="Book Antiqua" w:eastAsiaTheme="majorEastAsia" w:hAnsi="Book Antiqua" w:cstheme="majorBidi"/>
      <w:color w:val="C00000"/>
      <w:sz w:val="24"/>
      <w:szCs w:val="24"/>
      <w:lang w:val="en-GB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205AC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541F"/>
    <w:pPr>
      <w:tabs>
        <w:tab w:val="right" w:leader="dot" w:pos="9072"/>
      </w:tabs>
      <w:spacing w:after="100" w:line="276" w:lineRule="auto"/>
      <w:ind w:left="220"/>
    </w:pPr>
    <w:rPr>
      <w:rFonts w:asciiTheme="minorHAnsi" w:eastAsiaTheme="minorEastAsia" w:hAnsiTheme="minorHAnsi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541F"/>
    <w:pPr>
      <w:tabs>
        <w:tab w:val="right" w:leader="dot" w:pos="9072"/>
      </w:tabs>
      <w:spacing w:after="100" w:line="276" w:lineRule="auto"/>
    </w:pPr>
    <w:rPr>
      <w:rFonts w:asciiTheme="minorHAnsi" w:eastAsiaTheme="minorEastAsia" w:hAnsiTheme="minorHAnsi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8541F"/>
    <w:pPr>
      <w:tabs>
        <w:tab w:val="right" w:leader="dot" w:pos="9072"/>
      </w:tabs>
      <w:spacing w:after="100" w:line="276" w:lineRule="auto"/>
      <w:ind w:left="440"/>
    </w:pPr>
    <w:rPr>
      <w:rFonts w:asciiTheme="minorHAnsi" w:eastAsiaTheme="minorEastAsia" w:hAnsiTheme="minorHAnsi"/>
      <w:sz w:val="22"/>
      <w:lang w:val="en-US"/>
    </w:rPr>
  </w:style>
  <w:style w:type="paragraph" w:customStyle="1" w:styleId="IF4TMbodytext">
    <w:name w:val="IF4TM body text"/>
    <w:basedOn w:val="Normal"/>
    <w:qFormat/>
    <w:rsid w:val="003205AC"/>
    <w:pPr>
      <w:spacing w:after="120"/>
    </w:pPr>
    <w:rPr>
      <w:rFonts w:ascii="Arial" w:eastAsia="Calibri" w:hAnsi="Arial" w:cs="Arial"/>
      <w:szCs w:val="24"/>
      <w:lang w:val="en-US" w:eastAsia="de-DE"/>
    </w:rPr>
  </w:style>
  <w:style w:type="paragraph" w:styleId="NoSpacing">
    <w:name w:val="No Spacing"/>
    <w:basedOn w:val="Normal"/>
    <w:uiPriority w:val="1"/>
    <w:qFormat/>
    <w:rsid w:val="00D8541F"/>
    <w:pPr>
      <w:spacing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C7787"/>
    <w:pPr>
      <w:spacing w:line="240" w:lineRule="auto"/>
      <w:contextualSpacing/>
    </w:pPr>
    <w:rPr>
      <w:rFonts w:eastAsiaTheme="majorEastAsia" w:cstheme="majorBidi"/>
      <w:spacing w:val="-10"/>
      <w:kern w:val="28"/>
      <w:sz w:val="9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787"/>
    <w:rPr>
      <w:rFonts w:ascii="Book Antiqua" w:eastAsiaTheme="majorEastAsia" w:hAnsi="Book Antiqua" w:cstheme="majorBidi"/>
      <w:spacing w:val="-10"/>
      <w:kern w:val="28"/>
      <w:sz w:val="90"/>
      <w:szCs w:val="56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00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BD1EEF"/>
  </w:style>
  <w:style w:type="character" w:styleId="FollowedHyperlink">
    <w:name w:val="FollowedHyperlink"/>
    <w:basedOn w:val="DefaultParagraphFont"/>
    <w:uiPriority w:val="99"/>
    <w:semiHidden/>
    <w:unhideWhenUsed/>
    <w:rsid w:val="005B45F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EC3"/>
    <w:rPr>
      <w:rFonts w:ascii="Tahoma" w:eastAsiaTheme="minorHAnsi" w:hAnsi="Tahoma" w:cs="Tahoma"/>
      <w:sz w:val="16"/>
      <w:szCs w:val="16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FB1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pmp.med.bg.ac.rs/for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pmp.med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pmperasmus.ka2@med.bg.ac.r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45CC-B9DB-4620-B85A-C0BF3B17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2019-05-28T14:43:00Z</dcterms:created>
  <dcterms:modified xsi:type="dcterms:W3CDTF">2019-09-26T15:05:00Z</dcterms:modified>
</cp:coreProperties>
</file>