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F9" w:rsidRDefault="003A6AF9" w:rsidP="00C911B8">
      <w:pPr>
        <w:spacing w:after="120" w:line="360" w:lineRule="auto"/>
        <w:ind w:left="284" w:right="902"/>
      </w:pPr>
    </w:p>
    <w:p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8141F4" w:rsidRDefault="008141F4" w:rsidP="008141F4">
      <w:pPr>
        <w:jc w:val="center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 w:rsidRPr="003D77A3">
        <w:rPr>
          <w:rFonts w:cs="Arial"/>
          <w:b/>
          <w:bCs/>
          <w:caps/>
          <w:color w:val="000000" w:themeColor="text1"/>
          <w:sz w:val="48"/>
          <w:szCs w:val="48"/>
        </w:rPr>
        <w:t>EVENT REPORT FORM</w:t>
      </w:r>
    </w:p>
    <w:p w:rsidR="00242A86" w:rsidRDefault="00242A86" w:rsidP="00C911B8">
      <w:pPr>
        <w:spacing w:after="120" w:line="360" w:lineRule="auto"/>
        <w:ind w:left="284" w:right="902"/>
      </w:pPr>
    </w:p>
    <w:p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2"/>
      </w:tblGrid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</w:rPr>
            </w:pP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Capacities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for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Higher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Education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of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Pain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Medicine  in Western Balkan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countries</w:t>
            </w:r>
            <w:proofErr w:type="spellEnd"/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 w:rsidR="00894C80">
              <w:rPr>
                <w:szCs w:val="24"/>
                <w:lang w:val="en-GB"/>
              </w:rPr>
              <w:t>Belgrade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</w:t>
            </w:r>
            <w:r w:rsidR="00DF0965" w:rsidRPr="00DF0965">
              <w:rPr>
                <w:szCs w:val="24"/>
                <w:lang w:val="en-GB"/>
              </w:rPr>
              <w:t>7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r>
              <w:t>Event</w:t>
            </w:r>
          </w:p>
        </w:tc>
        <w:tc>
          <w:tcPr>
            <w:tcW w:w="6663" w:type="dxa"/>
          </w:tcPr>
          <w:p w:rsidR="008141F4" w:rsidRDefault="00D5433D" w:rsidP="008141F4">
            <w:pPr>
              <w:spacing w:after="120"/>
              <w:ind w:right="90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 w:rsidR="00D06C06">
              <w:t xml:space="preserve"> </w:t>
            </w:r>
            <w:proofErr w:type="spellStart"/>
            <w:r w:rsidR="00D06C06">
              <w:t>course</w:t>
            </w:r>
            <w:proofErr w:type="spellEnd"/>
            <w:r>
              <w:t xml:space="preserve"> in</w:t>
            </w:r>
            <w:r w:rsidR="00D06C06">
              <w:t xml:space="preserve"> </w:t>
            </w:r>
            <w:proofErr w:type="spellStart"/>
            <w:r w:rsidR="00D06C06">
              <w:t>primary</w:t>
            </w:r>
            <w:proofErr w:type="spellEnd"/>
            <w:r w:rsidR="00D06C06">
              <w:t xml:space="preserve"> </w:t>
            </w:r>
            <w:proofErr w:type="spellStart"/>
            <w:r w:rsidR="00D06C06">
              <w:t>health</w:t>
            </w:r>
            <w:proofErr w:type="spellEnd"/>
            <w:r w:rsidR="00D06C06">
              <w:t xml:space="preserve"> care: </w:t>
            </w:r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event</w:t>
            </w:r>
          </w:p>
        </w:tc>
        <w:tc>
          <w:tcPr>
            <w:tcW w:w="6663" w:type="dxa"/>
          </w:tcPr>
          <w:p w:rsidR="00446CB5" w:rsidRDefault="00446CB5" w:rsidP="008141F4">
            <w:pPr>
              <w:spacing w:after="120"/>
              <w:ind w:right="902"/>
            </w:pPr>
            <w:r>
              <w:t xml:space="preserve">WP3 (Development </w:t>
            </w:r>
            <w:proofErr w:type="spellStart"/>
            <w:r>
              <w:t>of</w:t>
            </w:r>
            <w:proofErr w:type="spellEnd"/>
            <w:r>
              <w:t xml:space="preserve"> LLL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interventional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medicine </w:t>
            </w:r>
            <w:proofErr w:type="spellStart"/>
            <w:r>
              <w:t>courses</w:t>
            </w:r>
            <w:proofErr w:type="spellEnd"/>
            <w:r>
              <w:t xml:space="preserve">) </w:t>
            </w:r>
          </w:p>
          <w:p w:rsidR="008141F4" w:rsidRDefault="00446CB5" w:rsidP="008141F4">
            <w:pPr>
              <w:spacing w:after="120"/>
              <w:ind w:right="902"/>
            </w:pPr>
            <w:r>
              <w:t xml:space="preserve">3.4. </w:t>
            </w:r>
            <w:proofErr w:type="spellStart"/>
            <w:r>
              <w:t>Delivering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LLL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medicine in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care </w:t>
            </w:r>
            <w:proofErr w:type="spellStart"/>
            <w:r>
              <w:t>centers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PCs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proofErr w:type="spellStart"/>
            <w:r>
              <w:t>Venue</w:t>
            </w:r>
            <w:proofErr w:type="spellEnd"/>
          </w:p>
        </w:tc>
        <w:tc>
          <w:tcPr>
            <w:tcW w:w="6663" w:type="dxa"/>
          </w:tcPr>
          <w:p w:rsidR="008141F4" w:rsidRDefault="00446CB5" w:rsidP="008141F4">
            <w:pPr>
              <w:spacing w:after="120"/>
              <w:ind w:right="902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care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Indjija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r>
              <w:t>Date</w:t>
            </w:r>
          </w:p>
        </w:tc>
        <w:tc>
          <w:tcPr>
            <w:tcW w:w="6663" w:type="dxa"/>
          </w:tcPr>
          <w:p w:rsidR="008141F4" w:rsidRDefault="00596316" w:rsidP="008141F4">
            <w:pPr>
              <w:spacing w:after="120"/>
              <w:ind w:right="902"/>
            </w:pPr>
            <w:r>
              <w:t>2.12</w:t>
            </w:r>
            <w:r w:rsidR="00446CB5">
              <w:t>.2019.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proofErr w:type="spellStart"/>
            <w:r>
              <w:t>Organizer</w:t>
            </w:r>
            <w:proofErr w:type="spellEnd"/>
          </w:p>
        </w:tc>
        <w:tc>
          <w:tcPr>
            <w:tcW w:w="6663" w:type="dxa"/>
          </w:tcPr>
          <w:p w:rsidR="008141F4" w:rsidRDefault="00446CB5" w:rsidP="008141F4">
            <w:pPr>
              <w:spacing w:after="120"/>
              <w:ind w:right="902"/>
            </w:pPr>
            <w:r>
              <w:t>MFUB, UHCDM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proofErr w:type="spellStart"/>
            <w:r>
              <w:t>Reporting</w:t>
            </w:r>
            <w:proofErr w:type="spellEnd"/>
            <w:r>
              <w:t xml:space="preserve"> date</w:t>
            </w:r>
          </w:p>
        </w:tc>
        <w:tc>
          <w:tcPr>
            <w:tcW w:w="6663" w:type="dxa"/>
          </w:tcPr>
          <w:p w:rsidR="008141F4" w:rsidRDefault="00D5433D" w:rsidP="008141F4">
            <w:pPr>
              <w:spacing w:after="120"/>
              <w:ind w:right="902"/>
            </w:pPr>
            <w:r>
              <w:t>0</w:t>
            </w:r>
            <w:r w:rsidR="00596316">
              <w:t>6.12</w:t>
            </w:r>
            <w:r w:rsidR="00446CB5">
              <w:t>.2019.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>(s)</w:t>
            </w:r>
          </w:p>
        </w:tc>
        <w:tc>
          <w:tcPr>
            <w:tcW w:w="6663" w:type="dxa"/>
          </w:tcPr>
          <w:p w:rsidR="008141F4" w:rsidRDefault="00596316" w:rsidP="008141F4">
            <w:pPr>
              <w:spacing w:after="120"/>
              <w:ind w:right="902"/>
            </w:pPr>
            <w:r>
              <w:t xml:space="preserve">Prof. dr </w:t>
            </w:r>
            <w:r w:rsidR="00446CB5">
              <w:t xml:space="preserve">Predrag </w:t>
            </w:r>
            <w:proofErr w:type="spellStart"/>
            <w:r w:rsidR="00446CB5">
              <w:t>Stevanovic</w:t>
            </w:r>
            <w:proofErr w:type="spellEnd"/>
            <w:r>
              <w:t xml:space="preserve">, Sanja </w:t>
            </w:r>
            <w:proofErr w:type="spellStart"/>
            <w:r>
              <w:t>Ivankovic</w:t>
            </w:r>
            <w:proofErr w:type="spellEnd"/>
          </w:p>
        </w:tc>
      </w:tr>
    </w:tbl>
    <w:p w:rsidR="00242A86" w:rsidRDefault="00242A86" w:rsidP="00C911B8">
      <w:pPr>
        <w:spacing w:after="120" w:line="360" w:lineRule="auto"/>
        <w:ind w:left="284" w:right="902"/>
      </w:pPr>
    </w:p>
    <w:p w:rsidR="008141F4" w:rsidRDefault="008141F4" w:rsidP="00C911B8">
      <w:pPr>
        <w:spacing w:after="120" w:line="360" w:lineRule="auto"/>
        <w:ind w:left="284" w:right="902"/>
      </w:pPr>
    </w:p>
    <w:p w:rsidR="00242A86" w:rsidRDefault="00242A86" w:rsidP="00C911B8">
      <w:pPr>
        <w:spacing w:after="120" w:line="360" w:lineRule="auto"/>
        <w:ind w:left="284" w:right="902"/>
      </w:pPr>
    </w:p>
    <w:p w:rsidR="00E843F7" w:rsidRDefault="00E843F7" w:rsidP="00C911B8">
      <w:pPr>
        <w:spacing w:after="120" w:line="360" w:lineRule="auto"/>
        <w:ind w:left="284" w:right="902"/>
      </w:pPr>
    </w:p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B84155" w:rsidP="00242A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135890</wp:posOffset>
                </wp:positionV>
                <wp:extent cx="5699760" cy="888365"/>
                <wp:effectExtent l="0" t="0" r="254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9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CE" w:rsidRDefault="00CB0ECE" w:rsidP="00B21E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Project number:585927-EPP-1-2017-1-RS-EPPKA2-C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BHE-JP (2017 – 3109 / 001 – 001)</w:t>
                            </w:r>
                          </w:p>
                          <w:p w:rsidR="00CB0ECE" w:rsidRPr="003025A0" w:rsidRDefault="00CB0ECE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B0ECE" w:rsidRPr="00C82908" w:rsidRDefault="00CB0ECE" w:rsidP="00B21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project has been funded with support from the European Commission.</w:t>
                            </w:r>
                          </w:p>
                          <w:p w:rsidR="00CB0ECE" w:rsidRPr="003025A0" w:rsidRDefault="00CB0ECE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publication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[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communication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reflects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views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author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Commission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cannot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held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responsible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any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use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which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 y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made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contained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therein</w:t>
                            </w:r>
                            <w:proofErr w:type="spellEnd"/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" strokecolor="red">
                <v:path arrowok="t"/>
                <v:textbox style="mso-fit-shape-to-text:t">
                  <w:txbxContent>
                    <w:p w:rsidR="00CB0ECE" w:rsidRDefault="00CB0ECE" w:rsidP="00B21E7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Project number:585927-EPP-1-2017-1-RS-EPPKA2-C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BHE-JP (2017 – 3109 / 001 – 001)</w:t>
                      </w:r>
                    </w:p>
                    <w:p w:rsidR="00CB0ECE" w:rsidRPr="003025A0" w:rsidRDefault="00CB0ECE" w:rsidP="00B21E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B0ECE" w:rsidRPr="00C82908" w:rsidRDefault="00CB0ECE" w:rsidP="00B21E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20"/>
                          <w:szCs w:val="20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project has been funded with support from the European Commission.</w:t>
                      </w:r>
                    </w:p>
                    <w:p w:rsidR="00CB0ECE" w:rsidRPr="003025A0" w:rsidRDefault="00CB0ECE" w:rsidP="00B21E7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publication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[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communication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]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reflects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views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only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author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Commission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cannot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be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held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responsible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any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use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which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ma y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be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made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information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contained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2908">
                        <w:rPr>
                          <w:i/>
                          <w:sz w:val="20"/>
                          <w:szCs w:val="20"/>
                        </w:rPr>
                        <w:t>therein</w:t>
                      </w:r>
                      <w:proofErr w:type="spellEnd"/>
                      <w:r w:rsidRPr="00C8290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Default="00242A86" w:rsidP="00242A86"/>
    <w:p w:rsidR="00E37B6C" w:rsidRDefault="00E37B6C" w:rsidP="00242A86"/>
    <w:p w:rsidR="00E37B6C" w:rsidRPr="00242A86" w:rsidRDefault="00E37B6C" w:rsidP="00242A86"/>
    <w:p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 xml:space="preserve">EVENT DESCRIPTION </w:t>
      </w:r>
    </w:p>
    <w:p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with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special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reference to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goals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and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outcomes</w:t>
      </w:r>
      <w:proofErr w:type="spellEnd"/>
    </w:p>
    <w:p w:rsidR="008141F4" w:rsidRPr="008141F4" w:rsidRDefault="008141F4" w:rsidP="008141F4">
      <w:pPr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190"/>
      </w:tblGrid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Number of participants at the event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BF07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170</w:t>
            </w:r>
          </w:p>
        </w:tc>
      </w:tr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Participants (organisations)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E37B6C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PHCC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Indjija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, PHCC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Stara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Pazova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, </w:t>
            </w:r>
          </w:p>
        </w:tc>
      </w:tr>
      <w:tr w:rsidR="008141F4" w:rsidRPr="008141F4" w:rsidTr="006F3E14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Event description: </w:t>
            </w:r>
          </w:p>
        </w:tc>
      </w:tr>
      <w:tr w:rsidR="008141F4" w:rsidRPr="00E55B7D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:rsidR="007D6990" w:rsidRDefault="007D6990" w:rsidP="00BA6BE0">
            <w:pPr>
              <w:pStyle w:val="Heading5"/>
              <w:spacing w:before="40" w:after="40" w:line="240" w:lineRule="auto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:rsidR="00E666CF" w:rsidRPr="00295CF1" w:rsidRDefault="00E666CF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main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objective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to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develop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LLL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course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about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management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deliver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health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professionals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Primary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health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care centre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Indjija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development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training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material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selection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trainees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accreditation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Healthcare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Council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Serbia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held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purpose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give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basic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education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regarding</w:t>
            </w:r>
            <w:proofErr w:type="spellEnd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can</w:t>
            </w:r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</w:t>
            </w:r>
            <w:r w:rsidR="00596316"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management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considering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undergraduate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studies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include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modules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medicine.</w:t>
            </w:r>
          </w:p>
          <w:p w:rsidR="00BA6BE0" w:rsidRPr="00295CF1" w:rsidRDefault="007D6990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95CF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:rsidR="003013A8" w:rsidRPr="00295CF1" w:rsidRDefault="00BA6BE0" w:rsidP="00295CF1">
            <w:pPr>
              <w:spacing w:before="40" w:after="40" w:line="360" w:lineRule="auto"/>
              <w:rPr>
                <w:rFonts w:ascii="Times New Roman" w:hAnsi="Times New Roman" w:cs="Times New Roman"/>
                <w:b/>
                <w:szCs w:val="24"/>
                <w:lang w:eastAsia="sl-SI"/>
              </w:rPr>
            </w:pPr>
            <w:proofErr w:type="spellStart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>Objectives</w:t>
            </w:r>
            <w:proofErr w:type="spellEnd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 xml:space="preserve">: 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students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explain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difference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between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nociception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students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explain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difference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between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History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taking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examination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techniques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students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explain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physiology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upstream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downstream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pathways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nociceptive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modulation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central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nervous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system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relation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following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mechanisms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NSAIDs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effects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including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toxicity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NSAIDs</w:t>
            </w:r>
            <w:proofErr w:type="spellEnd"/>
          </w:p>
          <w:p w:rsidR="008141F4" w:rsidRPr="00295CF1" w:rsidRDefault="008141F4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lang w:eastAsia="sl-SI"/>
              </w:rPr>
            </w:pPr>
          </w:p>
          <w:p w:rsidR="008141F4" w:rsidRPr="00295CF1" w:rsidRDefault="00E666CF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lang w:eastAsia="sl-SI"/>
              </w:rPr>
            </w:pPr>
            <w:r w:rsidRPr="00295CF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Description of activities</w:t>
            </w:r>
          </w:p>
          <w:p w:rsidR="008141F4" w:rsidRPr="00295CF1" w:rsidRDefault="008141F4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lang w:eastAsia="sl-SI"/>
              </w:rPr>
            </w:pPr>
          </w:p>
          <w:p w:rsidR="00295CF1" w:rsidRPr="00295CF1" w:rsidRDefault="00EC22B3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  <w:lang w:eastAsia="sl-SI"/>
              </w:rPr>
              <w:t xml:space="preserve">       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drafting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educational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material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five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lecturers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selected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who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each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their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own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field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expertise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wrote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material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produced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presentation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. All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educational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material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systematized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prepared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required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format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sent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Serbian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Health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Council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accreditation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material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judged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high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quality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accredited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as a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first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category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seminar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highest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number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KME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credits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accreditation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published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website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Health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Council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Serbia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proof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this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attached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this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document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          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flyer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prepared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outlining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program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event,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accreditation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decision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flyer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uploaded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digital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format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official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website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invitations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potential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started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at 16.00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h.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participant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records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At 4.30 pm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greeted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Director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Health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Center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followed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which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lastRenderedPageBreak/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HEPMP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possibilities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formal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followed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forums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HEPMP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website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Prof.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Stevanovic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reminded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presentations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both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previous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seminar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Indjija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other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flyers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found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site.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defined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International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Association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Study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(IASP) as "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unpleasant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sensory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emotional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experience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associated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current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potential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tissue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damage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description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impairment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".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address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coordinator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reminded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time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diagnosis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malignancy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established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30-40%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had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symptom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advanced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disease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approximately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70-80%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experience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meaning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12-13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million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people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suffer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given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World Health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(WHO)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estimate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17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million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people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worldwide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suffer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malignant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diseases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Therefore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first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Prof.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Palibrk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emphasized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must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begin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basis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quality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complete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define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syndrome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offer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subjective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phenomenon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one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basic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rules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must trust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severity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feeling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Prof. dr.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next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Ladjevic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principles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particular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focus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WHO "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stairs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"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principle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effects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Next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Stevanovic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meant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interactive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discussion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solving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clinical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problem.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Namely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answered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android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application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mobile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phones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solving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problem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malignant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segment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extremely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interesting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students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actively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selection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dosing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given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Prof. dr.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Jovic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in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subsequent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modern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ways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administering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particular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focus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PCA.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last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Prof.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Nesic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elderly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bearing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multidisciplinary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nature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involved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often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social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demographic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aspects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problem.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emphasized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today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considered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patient's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right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obligation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healthcare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professionals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view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fifth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vital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sign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".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lastRenderedPageBreak/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clearly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distinguished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Due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characteristics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modern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pharmacological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agents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easier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addition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efficacy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often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current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knowledge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therapeutic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measures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no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satisfactory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success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Acute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weakens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over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time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healing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),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while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persists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intensifies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recurs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time to time.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borne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intense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felt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affects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their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family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members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other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people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their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environment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Therefore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clear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management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fundamental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problems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imperatives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today's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medicine.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control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disease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therefore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tailored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respecting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three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key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principles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: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Recognize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pathophysiology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Perform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curable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explain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must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begin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basis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quality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complete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define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syndrome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offer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must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continuous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carried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regular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intervals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worsening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research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concluded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professionals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usually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underestimate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severity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while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family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members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overestimate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Given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subjectivity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careful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analysis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etiology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objective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status,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response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necessary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Careful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problem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involves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physiological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components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problem,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emotional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motivational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most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common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mistake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practitioners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only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, but a "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".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so, one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have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flee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but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contrary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seek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help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different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specialists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therefore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includes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: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detailed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history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examination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neurological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examination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psychosocial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other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radiography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skeletal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scintigraphy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CT, MRI,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laboratory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various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analyzes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necessary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appropriate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),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goal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management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alleviate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much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possible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must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sought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night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daily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rest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movement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which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always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possible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lastRenderedPageBreak/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medicines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neopoid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opoid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given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routinely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introduced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depending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specific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needs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),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medicines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effects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necessary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follow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WHO '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stairs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'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principle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: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 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1: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mild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(1-4 / 10 NRS),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choice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coanalgetics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needed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2: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Moderately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severe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: 5-6 / 10 NRS):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first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drug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cannot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alleviate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patient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rates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moderately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severe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weak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combination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administered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necessary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Step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3: Severe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previously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poorly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controlled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other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medications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requires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use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strong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Strong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combined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>          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had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number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, mini-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discussions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initiated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encouraged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communicate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informal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settings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After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topics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half-hour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discussion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opened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answered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raised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regarding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chronic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advised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download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material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pdf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format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HEPMP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website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seminar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completed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completing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questionnaire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awarding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certificates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trainees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before="40" w:after="40" w:line="360" w:lineRule="auto"/>
              <w:rPr>
                <w:rFonts w:ascii="Times New Roman" w:hAnsi="Times New Roman" w:cs="Times New Roman"/>
                <w:szCs w:val="24"/>
                <w:lang w:eastAsia="sl-SI"/>
              </w:rPr>
            </w:pPr>
          </w:p>
          <w:p w:rsidR="00D003E4" w:rsidRPr="00295CF1" w:rsidRDefault="00D003E4" w:rsidP="00295CF1">
            <w:pPr>
              <w:spacing w:before="40" w:after="40" w:line="360" w:lineRule="auto"/>
              <w:rPr>
                <w:rFonts w:ascii="Times New Roman" w:hAnsi="Times New Roman" w:cs="Times New Roman"/>
                <w:b/>
                <w:szCs w:val="24"/>
                <w:lang w:eastAsia="sl-SI"/>
              </w:rPr>
            </w:pPr>
            <w:r w:rsidRPr="00295CF1">
              <w:rPr>
                <w:rFonts w:ascii="Times New Roman" w:hAnsi="Times New Roman" w:cs="Times New Roman"/>
                <w:szCs w:val="24"/>
                <w:lang w:eastAsia="sl-SI"/>
              </w:rPr>
              <w:t xml:space="preserve">           </w:t>
            </w:r>
            <w:proofErr w:type="spellStart"/>
            <w:r w:rsidRPr="00295CF1">
              <w:rPr>
                <w:rFonts w:ascii="Times New Roman" w:hAnsi="Times New Roman" w:cs="Times New Roman"/>
                <w:b/>
                <w:szCs w:val="24"/>
                <w:lang w:eastAsia="sl-SI"/>
              </w:rPr>
              <w:t>Outcomes</w:t>
            </w:r>
            <w:proofErr w:type="spellEnd"/>
          </w:p>
          <w:p w:rsidR="00295CF1" w:rsidRPr="00295CF1" w:rsidRDefault="00EC22B3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  <w:lang w:eastAsia="sl-SI"/>
              </w:rPr>
              <w:t xml:space="preserve">          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evaluating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course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educators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estimated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expected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outcomes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95CF1" w:rsidRPr="00295CF1">
              <w:rPr>
                <w:rFonts w:ascii="Times New Roman" w:hAnsi="Times New Roman" w:cs="Times New Roman"/>
                <w:szCs w:val="24"/>
              </w:rPr>
              <w:t>achieved</w:t>
            </w:r>
            <w:proofErr w:type="spellEnd"/>
            <w:r w:rsidR="00295CF1" w:rsidRPr="00295CF1">
              <w:rPr>
                <w:rFonts w:ascii="Times New Roman" w:hAnsi="Times New Roman" w:cs="Times New Roman"/>
                <w:szCs w:val="24"/>
              </w:rPr>
              <w:t>: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health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professionals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doctors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nurses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physiotherapists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..)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health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center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have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acquired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skill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assessing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primary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level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physicians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have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acquired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skill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rationally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applying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algorithms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pharmacological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Primary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care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physicians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have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acquired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knowledge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use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side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effects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opioids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knowledge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invasive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methods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administering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analgesics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interest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course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extremely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high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shown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large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number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listeners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- 196.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group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listeners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very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heterogeneous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consisted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general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practitioners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specialists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nurses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therapists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dentists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biochemists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lastRenderedPageBreak/>
              <w:t>average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18. 62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years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service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In total, 35 male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161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female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attended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seminar.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Over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25%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highly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physicians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pharmacists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structure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choice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topics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program,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methods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used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duration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highly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80%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estimated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would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use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knowledge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acquired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during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frequently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constantly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everyday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practice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questionnaire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teaching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easy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understand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almost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everyone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stated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that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actively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learning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process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lecturers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individually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each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received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average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grade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4. 92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4.98.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given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opportunity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leave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personal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questionnaire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which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number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them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did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comments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about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remarks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suggestions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praise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but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also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suggestions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topics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presenters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methods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next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continuing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program. Some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suggestions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were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address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topics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rheumatic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pain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lung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cancer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through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future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seminars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>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5CF1">
              <w:rPr>
                <w:rFonts w:ascii="Times New Roman" w:hAnsi="Times New Roman" w:cs="Times New Roman"/>
                <w:szCs w:val="24"/>
              </w:rPr>
              <w:t xml:space="preserve">          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evaluation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questionnaire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analyzed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results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are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attached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to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this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document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rated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overall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impression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seminar as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average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4.96 (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out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5).</w:t>
            </w:r>
          </w:p>
          <w:p w:rsidR="00295CF1" w:rsidRPr="00295CF1" w:rsidRDefault="00295CF1" w:rsidP="00295CF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seminar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was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followed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by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local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television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crew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who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prepared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a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report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on </w:t>
            </w:r>
            <w:proofErr w:type="spellStart"/>
            <w:r w:rsidRPr="00295CF1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295CF1">
              <w:rPr>
                <w:rFonts w:ascii="Times New Roman" w:hAnsi="Times New Roman" w:cs="Times New Roman"/>
                <w:szCs w:val="24"/>
              </w:rPr>
              <w:t xml:space="preserve"> same.</w:t>
            </w:r>
          </w:p>
          <w:p w:rsidR="008141F4" w:rsidRPr="00E55B7D" w:rsidRDefault="008141F4" w:rsidP="00BF07F4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</w:tc>
      </w:tr>
    </w:tbl>
    <w:p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F95DB1" w:rsidRDefault="00F95DB1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lastRenderedPageBreak/>
        <w:t>Attachments</w:t>
      </w:r>
    </w:p>
    <w:p w:rsidR="00FC6962" w:rsidRPr="008141F4" w:rsidRDefault="00FC6962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778"/>
      </w:tblGrid>
      <w:tr w:rsidR="008141F4" w:rsidRPr="008141F4" w:rsidTr="006F3E14">
        <w:trPr>
          <w:trHeight w:val="95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Agenda (pdf)</w:t>
            </w:r>
          </w:p>
        </w:tc>
        <w:tc>
          <w:tcPr>
            <w:tcW w:w="5778" w:type="dxa"/>
          </w:tcPr>
          <w:p w:rsidR="008141F4" w:rsidRPr="00127D6B" w:rsidRDefault="00FA6392" w:rsidP="00127D6B">
            <w:pPr>
              <w:autoSpaceDE w:val="0"/>
              <w:autoSpaceDN w:val="0"/>
              <w:adjustRightInd w:val="0"/>
              <w:rPr>
                <w:rFonts w:ascii="BookAntiqua" w:eastAsia="Times New Roman" w:hAnsi="BookAntiqua" w:cs="BookAntiqua"/>
                <w:sz w:val="22"/>
                <w:lang w:val="en-US"/>
              </w:rPr>
            </w:pP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Leaflet </w:t>
            </w:r>
            <w:r w:rsidR="00553838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CANCER </w:t>
            </w: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>PAIN Indjija</w:t>
            </w: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r w:rsidR="00127D6B">
              <w:rPr>
                <w:rFonts w:ascii="BookAntiqua" w:eastAsia="Times New Roman" w:hAnsi="BookAntiqua" w:cs="BookAntiqua"/>
                <w:sz w:val="22"/>
                <w:lang w:val="en-US"/>
              </w:rPr>
              <w:t>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Attendance sheet (pdf)</w:t>
            </w:r>
          </w:p>
        </w:tc>
        <w:tc>
          <w:tcPr>
            <w:tcW w:w="5778" w:type="dxa"/>
          </w:tcPr>
          <w:p w:rsidR="008141F4" w:rsidRPr="007A049E" w:rsidRDefault="00127D6B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>
              <w:rPr>
                <w:rFonts w:ascii="BookAntiqua" w:eastAsia="Times New Roman" w:hAnsi="BookAntiqua" w:cs="BookAntiqua"/>
                <w:sz w:val="22"/>
                <w:lang w:val="en-US"/>
              </w:rPr>
              <w:t>Annex 4</w:t>
            </w:r>
            <w:r w:rsidR="00714B57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- HEPMP-attendance list </w:t>
            </w:r>
            <w:proofErr w:type="spellStart"/>
            <w:r w:rsidR="00714B57">
              <w:rPr>
                <w:rFonts w:ascii="BookAntiqua" w:eastAsia="Times New Roman" w:hAnsi="BookAntiqua" w:cs="BookAntiqua"/>
                <w:sz w:val="22"/>
                <w:lang w:val="en-US"/>
              </w:rPr>
              <w:t>Indjija</w:t>
            </w:r>
            <w:proofErr w:type="spellEnd"/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Photos (jpg)</w:t>
            </w:r>
          </w:p>
        </w:tc>
        <w:tc>
          <w:tcPr>
            <w:tcW w:w="5778" w:type="dxa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3E6225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Deliverable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8141F4" w:rsidRPr="007A049E" w:rsidRDefault="003E6225" w:rsidP="00FA639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>Leaflet PAIN Indjija</w:t>
            </w:r>
            <w:r w:rsidR="00FA6392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127D6B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Quality control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8141F4" w:rsidRPr="00127D6B" w:rsidRDefault="00FA6392" w:rsidP="00553838">
            <w:pPr>
              <w:autoSpaceDE w:val="0"/>
              <w:autoSpaceDN w:val="0"/>
              <w:adjustRightInd w:val="0"/>
              <w:rPr>
                <w:rFonts w:ascii="BookAntiqua" w:eastAsia="Times New Roman" w:hAnsi="BookAntiqua" w:cs="BookAntiqua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Accreditation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by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Healthcare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Council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of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Serbia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(print screen); </w:t>
            </w:r>
            <w:r w:rsidR="00127D6B" w:rsidRPr="00127D6B">
              <w:rPr>
                <w:rFonts w:ascii="BookAntiqua" w:eastAsia="Times New Roman" w:hAnsi="BookAntiqua" w:cs="BookAntiqua"/>
                <w:sz w:val="22"/>
                <w:lang w:val="en-US"/>
              </w:rPr>
              <w:t>Annex 6- HEPMP-Event evaluation list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Presentations (pdf)</w:t>
            </w:r>
          </w:p>
        </w:tc>
        <w:tc>
          <w:tcPr>
            <w:tcW w:w="5778" w:type="dxa"/>
          </w:tcPr>
          <w:p w:rsidR="008141F4" w:rsidRPr="007A049E" w:rsidRDefault="008141F4" w:rsidP="00127D6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Other personal remarks</w:t>
            </w:r>
          </w:p>
        </w:tc>
      </w:tr>
      <w:tr w:rsidR="008141F4" w:rsidRPr="00E55B7D" w:rsidTr="008141F4">
        <w:trPr>
          <w:trHeight w:val="4245"/>
          <w:jc w:val="center"/>
        </w:trPr>
        <w:tc>
          <w:tcPr>
            <w:tcW w:w="9072" w:type="dxa"/>
            <w:gridSpan w:val="2"/>
          </w:tcPr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:rsidR="008141F4" w:rsidRDefault="008141F4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:rsidR="008141F4" w:rsidRDefault="007E5CEB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  <w:r>
        <w:rPr>
          <w:rFonts w:cs="Arial"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3245396</wp:posOffset>
            </wp:positionH>
            <wp:positionV relativeFrom="paragraph">
              <wp:posOffset>221718</wp:posOffset>
            </wp:positionV>
            <wp:extent cx="15494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:rsidR="0032106E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proofErr w:type="spellStart"/>
      <w:r w:rsidRPr="00C3074C">
        <w:rPr>
          <w:rFonts w:cs="Arial"/>
          <w:color w:val="000000" w:themeColor="text1"/>
          <w:lang w:eastAsia="sl-SI"/>
        </w:rPr>
        <w:t>Location</w:t>
      </w:r>
      <w:proofErr w:type="spellEnd"/>
      <w:r w:rsidRPr="00C3074C">
        <w:rPr>
          <w:rFonts w:cs="Arial"/>
          <w:color w:val="000000" w:themeColor="text1"/>
          <w:lang w:eastAsia="sl-SI"/>
        </w:rPr>
        <w:t>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</w:p>
    <w:p w:rsidR="0032106E" w:rsidRPr="00C3074C" w:rsidRDefault="00D5433D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06</w:t>
      </w:r>
      <w:bookmarkStart w:id="0" w:name="_GoBack"/>
      <w:bookmarkEnd w:id="0"/>
      <w:r w:rsidR="007E5CEB">
        <w:rPr>
          <w:rFonts w:cs="Arial"/>
          <w:color w:val="000000" w:themeColor="text1"/>
          <w:lang w:eastAsia="sl-SI"/>
        </w:rPr>
        <w:t>. 12. 2019.</w:t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7E5CEB">
        <w:rPr>
          <w:rFonts w:cs="Arial"/>
          <w:color w:val="000000" w:themeColor="text1"/>
          <w:lang w:eastAsia="sl-SI"/>
        </w:rPr>
        <w:tab/>
      </w:r>
      <w:r w:rsidR="007E5CEB">
        <w:rPr>
          <w:rFonts w:cs="Arial"/>
          <w:color w:val="000000" w:themeColor="text1"/>
          <w:lang w:eastAsia="sl-SI"/>
        </w:rPr>
        <w:tab/>
      </w:r>
    </w:p>
    <w:p w:rsidR="00242A86" w:rsidRDefault="00242A86" w:rsidP="00242A86"/>
    <w:p w:rsidR="00242A86" w:rsidRDefault="00242A86" w:rsidP="00242A86"/>
    <w:p w:rsidR="00242A86" w:rsidRDefault="00242A86" w:rsidP="00242A86"/>
    <w:p w:rsidR="00F25283" w:rsidRPr="00242A86" w:rsidRDefault="00F25283" w:rsidP="00242A86"/>
    <w:sectPr w:rsidR="00F25283" w:rsidRPr="00242A86" w:rsidSect="00A67DA7">
      <w:headerReference w:type="default" r:id="rId9"/>
      <w:footerReference w:type="default" r:id="rId10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8D" w:rsidRDefault="008C4B8D">
      <w:r>
        <w:separator/>
      </w:r>
    </w:p>
  </w:endnote>
  <w:endnote w:type="continuationSeparator" w:id="0">
    <w:p w:rsidR="008C4B8D" w:rsidRDefault="008C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268235"/>
      <w:docPartObj>
        <w:docPartGallery w:val="Page Numbers (Bottom of Page)"/>
        <w:docPartUnique/>
      </w:docPartObj>
    </w:sdtPr>
    <w:sdtEndPr/>
    <w:sdtContent>
      <w:p w:rsidR="00CB0ECE" w:rsidRDefault="00E05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0ECE" w:rsidRDefault="00CB0ECE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8D" w:rsidRDefault="008C4B8D">
      <w:r>
        <w:separator/>
      </w:r>
    </w:p>
  </w:footnote>
  <w:footnote w:type="continuationSeparator" w:id="0">
    <w:p w:rsidR="008C4B8D" w:rsidRDefault="008C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321"/>
      <w:gridCol w:w="2574"/>
    </w:tblGrid>
    <w:tr w:rsidR="00CB0ECE" w:rsidTr="00100EAD">
      <w:tc>
        <w:tcPr>
          <w:tcW w:w="2235" w:type="dxa"/>
        </w:tcPr>
        <w:p w:rsidR="00CB0ECE" w:rsidRDefault="00CB0ECE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:rsidR="00CB0ECE" w:rsidRPr="00B21E71" w:rsidRDefault="00CB0ECE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</w:t>
          </w:r>
          <w:proofErr w:type="gramStart"/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Medicine  in</w:t>
          </w:r>
          <w:proofErr w:type="gramEnd"/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 Western Balkan countries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:rsidR="00CB0ECE" w:rsidRDefault="00CB0ECE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0ECE" w:rsidRDefault="00CB0ECE" w:rsidP="00E843F7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1"/>
    <w:rsid w:val="00005D08"/>
    <w:rsid w:val="000237B0"/>
    <w:rsid w:val="000341D6"/>
    <w:rsid w:val="0004689E"/>
    <w:rsid w:val="00047D38"/>
    <w:rsid w:val="00051812"/>
    <w:rsid w:val="00051F8B"/>
    <w:rsid w:val="00053A35"/>
    <w:rsid w:val="000673B0"/>
    <w:rsid w:val="00076529"/>
    <w:rsid w:val="000831F3"/>
    <w:rsid w:val="0008343D"/>
    <w:rsid w:val="00083CE1"/>
    <w:rsid w:val="00090499"/>
    <w:rsid w:val="0009219B"/>
    <w:rsid w:val="00093F24"/>
    <w:rsid w:val="00096DBF"/>
    <w:rsid w:val="000E0157"/>
    <w:rsid w:val="000E340C"/>
    <w:rsid w:val="00100EAD"/>
    <w:rsid w:val="00116BB0"/>
    <w:rsid w:val="00127D6B"/>
    <w:rsid w:val="00132BB4"/>
    <w:rsid w:val="001362D2"/>
    <w:rsid w:val="00143543"/>
    <w:rsid w:val="00151396"/>
    <w:rsid w:val="001516D3"/>
    <w:rsid w:val="00163BAF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511D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0AA1"/>
    <w:rsid w:val="00257CA9"/>
    <w:rsid w:val="002630F5"/>
    <w:rsid w:val="00263DF6"/>
    <w:rsid w:val="00264C4B"/>
    <w:rsid w:val="00272F45"/>
    <w:rsid w:val="00280241"/>
    <w:rsid w:val="00286448"/>
    <w:rsid w:val="002911BD"/>
    <w:rsid w:val="00295CF1"/>
    <w:rsid w:val="002A3547"/>
    <w:rsid w:val="002A735A"/>
    <w:rsid w:val="002B2300"/>
    <w:rsid w:val="002B3371"/>
    <w:rsid w:val="002D6F46"/>
    <w:rsid w:val="002E2243"/>
    <w:rsid w:val="002E617A"/>
    <w:rsid w:val="002E6E1A"/>
    <w:rsid w:val="002F3FAB"/>
    <w:rsid w:val="003013A8"/>
    <w:rsid w:val="00303791"/>
    <w:rsid w:val="00313E84"/>
    <w:rsid w:val="00314DA0"/>
    <w:rsid w:val="00315A81"/>
    <w:rsid w:val="0032106E"/>
    <w:rsid w:val="00332B0E"/>
    <w:rsid w:val="003477B1"/>
    <w:rsid w:val="00361C90"/>
    <w:rsid w:val="00381648"/>
    <w:rsid w:val="00395127"/>
    <w:rsid w:val="003A6AF9"/>
    <w:rsid w:val="003B7A73"/>
    <w:rsid w:val="003C5121"/>
    <w:rsid w:val="003C7D49"/>
    <w:rsid w:val="003D05DA"/>
    <w:rsid w:val="003D77A3"/>
    <w:rsid w:val="003E6225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6A8"/>
    <w:rsid w:val="00445760"/>
    <w:rsid w:val="00446495"/>
    <w:rsid w:val="00446CB5"/>
    <w:rsid w:val="004800A2"/>
    <w:rsid w:val="0048017D"/>
    <w:rsid w:val="00483FBD"/>
    <w:rsid w:val="00485AE7"/>
    <w:rsid w:val="004866CC"/>
    <w:rsid w:val="004A0B3C"/>
    <w:rsid w:val="004B0B45"/>
    <w:rsid w:val="004C7EF3"/>
    <w:rsid w:val="004D1BB2"/>
    <w:rsid w:val="004D78AF"/>
    <w:rsid w:val="004E1DF7"/>
    <w:rsid w:val="004E4166"/>
    <w:rsid w:val="0050206A"/>
    <w:rsid w:val="00530874"/>
    <w:rsid w:val="00553838"/>
    <w:rsid w:val="005604D1"/>
    <w:rsid w:val="0057202D"/>
    <w:rsid w:val="005753D1"/>
    <w:rsid w:val="005760AF"/>
    <w:rsid w:val="00583168"/>
    <w:rsid w:val="00586A93"/>
    <w:rsid w:val="00591C38"/>
    <w:rsid w:val="00596316"/>
    <w:rsid w:val="005A3B95"/>
    <w:rsid w:val="005B1DD3"/>
    <w:rsid w:val="005D0814"/>
    <w:rsid w:val="005E07B0"/>
    <w:rsid w:val="005E3BBC"/>
    <w:rsid w:val="005E60BF"/>
    <w:rsid w:val="005E7077"/>
    <w:rsid w:val="005F1950"/>
    <w:rsid w:val="005F6CCB"/>
    <w:rsid w:val="0060503B"/>
    <w:rsid w:val="00611687"/>
    <w:rsid w:val="00626E41"/>
    <w:rsid w:val="00632335"/>
    <w:rsid w:val="006324AA"/>
    <w:rsid w:val="0063635E"/>
    <w:rsid w:val="00642414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6F3E14"/>
    <w:rsid w:val="00702F9E"/>
    <w:rsid w:val="00714B57"/>
    <w:rsid w:val="00716DDC"/>
    <w:rsid w:val="00717988"/>
    <w:rsid w:val="00731936"/>
    <w:rsid w:val="00741B85"/>
    <w:rsid w:val="00745013"/>
    <w:rsid w:val="0074526F"/>
    <w:rsid w:val="00751E0D"/>
    <w:rsid w:val="0077162A"/>
    <w:rsid w:val="00771721"/>
    <w:rsid w:val="00775F67"/>
    <w:rsid w:val="007813B6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D6990"/>
    <w:rsid w:val="007E2594"/>
    <w:rsid w:val="007E260B"/>
    <w:rsid w:val="007E5CEB"/>
    <w:rsid w:val="007F27AF"/>
    <w:rsid w:val="007F2C62"/>
    <w:rsid w:val="00801EAD"/>
    <w:rsid w:val="008141F4"/>
    <w:rsid w:val="008144A1"/>
    <w:rsid w:val="00814AEE"/>
    <w:rsid w:val="0082097A"/>
    <w:rsid w:val="00847945"/>
    <w:rsid w:val="008549D9"/>
    <w:rsid w:val="00864113"/>
    <w:rsid w:val="008753F6"/>
    <w:rsid w:val="00875B53"/>
    <w:rsid w:val="00877CC5"/>
    <w:rsid w:val="008830E6"/>
    <w:rsid w:val="00894C80"/>
    <w:rsid w:val="00896495"/>
    <w:rsid w:val="008B0542"/>
    <w:rsid w:val="008C4B8D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164AF"/>
    <w:rsid w:val="00A21128"/>
    <w:rsid w:val="00A229CE"/>
    <w:rsid w:val="00A35B4F"/>
    <w:rsid w:val="00A46A71"/>
    <w:rsid w:val="00A6712D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27A29"/>
    <w:rsid w:val="00B4758A"/>
    <w:rsid w:val="00B527CA"/>
    <w:rsid w:val="00B56CC8"/>
    <w:rsid w:val="00B577F0"/>
    <w:rsid w:val="00B76690"/>
    <w:rsid w:val="00B84155"/>
    <w:rsid w:val="00B841EC"/>
    <w:rsid w:val="00BA57C0"/>
    <w:rsid w:val="00BA6BE0"/>
    <w:rsid w:val="00BD07DB"/>
    <w:rsid w:val="00BE2677"/>
    <w:rsid w:val="00BE33CF"/>
    <w:rsid w:val="00BF07F4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0ECE"/>
    <w:rsid w:val="00CB1BFC"/>
    <w:rsid w:val="00CC494E"/>
    <w:rsid w:val="00CD0E67"/>
    <w:rsid w:val="00CF052F"/>
    <w:rsid w:val="00D003E4"/>
    <w:rsid w:val="00D034B5"/>
    <w:rsid w:val="00D06BB8"/>
    <w:rsid w:val="00D06C06"/>
    <w:rsid w:val="00D27313"/>
    <w:rsid w:val="00D31A73"/>
    <w:rsid w:val="00D41393"/>
    <w:rsid w:val="00D445ED"/>
    <w:rsid w:val="00D51A3E"/>
    <w:rsid w:val="00D5433D"/>
    <w:rsid w:val="00D54C0C"/>
    <w:rsid w:val="00D61D25"/>
    <w:rsid w:val="00DD6755"/>
    <w:rsid w:val="00DF0965"/>
    <w:rsid w:val="00E018F8"/>
    <w:rsid w:val="00E056A7"/>
    <w:rsid w:val="00E12A3F"/>
    <w:rsid w:val="00E13121"/>
    <w:rsid w:val="00E33572"/>
    <w:rsid w:val="00E37B6C"/>
    <w:rsid w:val="00E43951"/>
    <w:rsid w:val="00E57AEA"/>
    <w:rsid w:val="00E6240D"/>
    <w:rsid w:val="00E62A1D"/>
    <w:rsid w:val="00E6578E"/>
    <w:rsid w:val="00E666CF"/>
    <w:rsid w:val="00E709C8"/>
    <w:rsid w:val="00E72587"/>
    <w:rsid w:val="00E8190B"/>
    <w:rsid w:val="00E82BA2"/>
    <w:rsid w:val="00E843F7"/>
    <w:rsid w:val="00EA6356"/>
    <w:rsid w:val="00EB6722"/>
    <w:rsid w:val="00EC0E26"/>
    <w:rsid w:val="00EC22B3"/>
    <w:rsid w:val="00EC42B9"/>
    <w:rsid w:val="00EC6240"/>
    <w:rsid w:val="00EC69DF"/>
    <w:rsid w:val="00EE2F75"/>
    <w:rsid w:val="00F115F5"/>
    <w:rsid w:val="00F11AFD"/>
    <w:rsid w:val="00F11C92"/>
    <w:rsid w:val="00F12C7C"/>
    <w:rsid w:val="00F25283"/>
    <w:rsid w:val="00F27049"/>
    <w:rsid w:val="00F34216"/>
    <w:rsid w:val="00F34547"/>
    <w:rsid w:val="00F422DD"/>
    <w:rsid w:val="00F65441"/>
    <w:rsid w:val="00F66384"/>
    <w:rsid w:val="00F922AF"/>
    <w:rsid w:val="00F95DB1"/>
    <w:rsid w:val="00FA3218"/>
    <w:rsid w:val="00FA5B89"/>
    <w:rsid w:val="00FA6392"/>
    <w:rsid w:val="00FC34EF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D919"/>
  <w15:docId w15:val="{5CF5989F-0766-954A-975A-2CD0B7E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E5DC76-468C-0B4B-AB63-DAC8789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C:\Users\user\Downloads\Tempus_IRIS_New_Word_Template (1).dotx</Template>
  <TotalTime>8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Predrag Stevanovic</cp:lastModifiedBy>
  <cp:revision>4</cp:revision>
  <cp:lastPrinted>2016-01-21T07:14:00Z</cp:lastPrinted>
  <dcterms:created xsi:type="dcterms:W3CDTF">2019-12-12T20:34:00Z</dcterms:created>
  <dcterms:modified xsi:type="dcterms:W3CDTF">2019-12-12T20:47:00Z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