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AF9" w:rsidRDefault="003A6AF9" w:rsidP="00DB344C">
      <w:pPr>
        <w:spacing w:after="120" w:line="360" w:lineRule="auto"/>
        <w:ind w:left="284" w:right="902"/>
        <w:jc w:val="both"/>
      </w:pPr>
    </w:p>
    <w:p w:rsidR="00AF43A7" w:rsidRDefault="00AF43A7" w:rsidP="00DB344C">
      <w:pPr>
        <w:jc w:val="both"/>
        <w:rPr>
          <w:rFonts w:cs="Arial"/>
          <w:b/>
          <w:bCs/>
          <w:caps/>
          <w:color w:val="000000" w:themeColor="text1"/>
          <w:sz w:val="48"/>
          <w:szCs w:val="48"/>
        </w:rPr>
      </w:pPr>
    </w:p>
    <w:p w:rsidR="00AF43A7" w:rsidRDefault="00AF43A7" w:rsidP="00DB344C">
      <w:pPr>
        <w:jc w:val="both"/>
        <w:rPr>
          <w:rFonts w:cs="Arial"/>
          <w:b/>
          <w:bCs/>
          <w:caps/>
          <w:color w:val="000000" w:themeColor="text1"/>
          <w:sz w:val="48"/>
          <w:szCs w:val="48"/>
        </w:rPr>
      </w:pPr>
    </w:p>
    <w:p w:rsidR="008141F4" w:rsidRDefault="008141F4" w:rsidP="00DB344C">
      <w:pPr>
        <w:jc w:val="both"/>
        <w:rPr>
          <w:rFonts w:ascii="Arial" w:hAnsi="Arial" w:cs="Arial"/>
          <w:b/>
          <w:bCs/>
          <w:caps/>
          <w:color w:val="31849B"/>
          <w:sz w:val="48"/>
          <w:szCs w:val="48"/>
        </w:rPr>
      </w:pPr>
      <w:r w:rsidRPr="003D77A3">
        <w:rPr>
          <w:rFonts w:cs="Arial"/>
          <w:b/>
          <w:bCs/>
          <w:caps/>
          <w:color w:val="000000" w:themeColor="text1"/>
          <w:sz w:val="48"/>
          <w:szCs w:val="48"/>
        </w:rPr>
        <w:t>EVENT REPORT FORM</w:t>
      </w:r>
    </w:p>
    <w:p w:rsidR="00242A86" w:rsidRDefault="00242A86" w:rsidP="00DB344C">
      <w:pPr>
        <w:spacing w:after="120" w:line="360" w:lineRule="auto"/>
        <w:ind w:left="284" w:right="902"/>
        <w:jc w:val="both"/>
      </w:pPr>
    </w:p>
    <w:p w:rsidR="0032106E" w:rsidRDefault="0032106E" w:rsidP="00DB344C">
      <w:pPr>
        <w:spacing w:after="120" w:line="360" w:lineRule="auto"/>
        <w:ind w:left="284" w:right="902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7"/>
        <w:gridCol w:w="6662"/>
      </w:tblGrid>
      <w:tr w:rsidR="00FC6962" w:rsidRPr="00C53D27" w:rsidTr="006F3E14">
        <w:tc>
          <w:tcPr>
            <w:tcW w:w="2977" w:type="dxa"/>
            <w:shd w:val="clear" w:color="auto" w:fill="D99594" w:themeFill="accent2" w:themeFillTint="99"/>
          </w:tcPr>
          <w:p w:rsidR="00FC6962" w:rsidRPr="00C53D27" w:rsidRDefault="00FC6962" w:rsidP="00DB344C">
            <w:pPr>
              <w:jc w:val="both"/>
              <w:rPr>
                <w:lang w:val="en-GB"/>
              </w:rPr>
            </w:pPr>
            <w:r w:rsidRPr="00C53D27">
              <w:rPr>
                <w:lang w:val="en-GB"/>
              </w:rPr>
              <w:t>Project title</w:t>
            </w:r>
          </w:p>
        </w:tc>
        <w:tc>
          <w:tcPr>
            <w:tcW w:w="6662" w:type="dxa"/>
          </w:tcPr>
          <w:p w:rsidR="00FC6962" w:rsidRPr="00DF0965" w:rsidRDefault="00DF0965" w:rsidP="00DB344C">
            <w:pPr>
              <w:jc w:val="both"/>
              <w:rPr>
                <w:szCs w:val="24"/>
              </w:rPr>
            </w:pPr>
            <w:proofErr w:type="spellStart"/>
            <w:r w:rsidRPr="00DF0965">
              <w:rPr>
                <w:rStyle w:val="SelPlus"/>
                <w:rFonts w:ascii="Book Antiqua" w:hAnsi="Book Antiqua"/>
                <w:b w:val="0"/>
                <w:sz w:val="24"/>
                <w:szCs w:val="24"/>
              </w:rPr>
              <w:t>Strengthening</w:t>
            </w:r>
            <w:proofErr w:type="spellEnd"/>
            <w:r w:rsidRPr="00DF0965">
              <w:rPr>
                <w:rStyle w:val="SelPlus"/>
                <w:rFonts w:ascii="Book Antiqua" w:hAnsi="Book Antiqua"/>
                <w:b w:val="0"/>
                <w:sz w:val="24"/>
                <w:szCs w:val="24"/>
              </w:rPr>
              <w:t xml:space="preserve"> </w:t>
            </w:r>
            <w:proofErr w:type="spellStart"/>
            <w:r w:rsidRPr="00DF0965">
              <w:rPr>
                <w:rStyle w:val="SelPlus"/>
                <w:rFonts w:ascii="Book Antiqua" w:hAnsi="Book Antiqua"/>
                <w:b w:val="0"/>
                <w:sz w:val="24"/>
                <w:szCs w:val="24"/>
              </w:rPr>
              <w:t>Capacities</w:t>
            </w:r>
            <w:proofErr w:type="spellEnd"/>
            <w:r w:rsidRPr="00DF0965">
              <w:rPr>
                <w:rStyle w:val="SelPlus"/>
                <w:rFonts w:ascii="Book Antiqua" w:hAnsi="Book Antiqua"/>
                <w:b w:val="0"/>
                <w:sz w:val="24"/>
                <w:szCs w:val="24"/>
              </w:rPr>
              <w:t xml:space="preserve"> </w:t>
            </w:r>
            <w:proofErr w:type="spellStart"/>
            <w:r w:rsidRPr="00DF0965">
              <w:rPr>
                <w:rStyle w:val="SelPlus"/>
                <w:rFonts w:ascii="Book Antiqua" w:hAnsi="Book Antiqua"/>
                <w:b w:val="0"/>
                <w:sz w:val="24"/>
                <w:szCs w:val="24"/>
              </w:rPr>
              <w:t>for</w:t>
            </w:r>
            <w:proofErr w:type="spellEnd"/>
            <w:r w:rsidRPr="00DF0965">
              <w:rPr>
                <w:rStyle w:val="SelPlus"/>
                <w:rFonts w:ascii="Book Antiqua" w:hAnsi="Book Antiqua"/>
                <w:b w:val="0"/>
                <w:sz w:val="24"/>
                <w:szCs w:val="24"/>
              </w:rPr>
              <w:t xml:space="preserve"> </w:t>
            </w:r>
            <w:proofErr w:type="spellStart"/>
            <w:r w:rsidRPr="00DF0965">
              <w:rPr>
                <w:rStyle w:val="SelPlus"/>
                <w:rFonts w:ascii="Book Antiqua" w:hAnsi="Book Antiqua"/>
                <w:b w:val="0"/>
                <w:sz w:val="24"/>
                <w:szCs w:val="24"/>
              </w:rPr>
              <w:t>Higher</w:t>
            </w:r>
            <w:proofErr w:type="spellEnd"/>
            <w:r w:rsidRPr="00DF0965">
              <w:rPr>
                <w:rStyle w:val="SelPlus"/>
                <w:rFonts w:ascii="Book Antiqua" w:hAnsi="Book Antiqua"/>
                <w:b w:val="0"/>
                <w:sz w:val="24"/>
                <w:szCs w:val="24"/>
              </w:rPr>
              <w:t xml:space="preserve"> </w:t>
            </w:r>
            <w:proofErr w:type="spellStart"/>
            <w:r w:rsidRPr="00DF0965">
              <w:rPr>
                <w:rStyle w:val="SelPlus"/>
                <w:rFonts w:ascii="Book Antiqua" w:hAnsi="Book Antiqua"/>
                <w:b w:val="0"/>
                <w:sz w:val="24"/>
                <w:szCs w:val="24"/>
              </w:rPr>
              <w:t>Education</w:t>
            </w:r>
            <w:proofErr w:type="spellEnd"/>
            <w:r w:rsidRPr="00DF0965">
              <w:rPr>
                <w:rStyle w:val="SelPlus"/>
                <w:rFonts w:ascii="Book Antiqua" w:hAnsi="Book Antiqua"/>
                <w:b w:val="0"/>
                <w:sz w:val="24"/>
                <w:szCs w:val="24"/>
              </w:rPr>
              <w:t xml:space="preserve"> </w:t>
            </w:r>
            <w:proofErr w:type="spellStart"/>
            <w:r w:rsidRPr="00DF0965">
              <w:rPr>
                <w:rStyle w:val="SelPlus"/>
                <w:rFonts w:ascii="Book Antiqua" w:hAnsi="Book Antiqua"/>
                <w:b w:val="0"/>
                <w:sz w:val="24"/>
                <w:szCs w:val="24"/>
              </w:rPr>
              <w:t>of</w:t>
            </w:r>
            <w:proofErr w:type="spellEnd"/>
            <w:r w:rsidRPr="00DF0965">
              <w:rPr>
                <w:rStyle w:val="SelPlus"/>
                <w:rFonts w:ascii="Book Antiqua" w:hAnsi="Book Antiqua"/>
                <w:b w:val="0"/>
                <w:sz w:val="24"/>
                <w:szCs w:val="24"/>
              </w:rPr>
              <w:t xml:space="preserve"> </w:t>
            </w:r>
            <w:proofErr w:type="spellStart"/>
            <w:r w:rsidRPr="00DF0965">
              <w:rPr>
                <w:rStyle w:val="SelPlus"/>
                <w:rFonts w:ascii="Book Antiqua" w:hAnsi="Book Antiqua"/>
                <w:b w:val="0"/>
                <w:sz w:val="24"/>
                <w:szCs w:val="24"/>
              </w:rPr>
              <w:t>Pain</w:t>
            </w:r>
            <w:proofErr w:type="spellEnd"/>
            <w:r w:rsidRPr="00DF0965">
              <w:rPr>
                <w:rStyle w:val="SelPlus"/>
                <w:rFonts w:ascii="Book Antiqua" w:hAnsi="Book Antiqua"/>
                <w:b w:val="0"/>
                <w:sz w:val="24"/>
                <w:szCs w:val="24"/>
              </w:rPr>
              <w:t xml:space="preserve"> Medicine  in Western Balkan </w:t>
            </w:r>
            <w:proofErr w:type="spellStart"/>
            <w:r w:rsidRPr="00DF0965">
              <w:rPr>
                <w:rStyle w:val="SelPlus"/>
                <w:rFonts w:ascii="Book Antiqua" w:hAnsi="Book Antiqua"/>
                <w:b w:val="0"/>
                <w:sz w:val="24"/>
                <w:szCs w:val="24"/>
              </w:rPr>
              <w:t>countries</w:t>
            </w:r>
            <w:proofErr w:type="spellEnd"/>
          </w:p>
        </w:tc>
      </w:tr>
      <w:tr w:rsidR="00FC6962" w:rsidRPr="00C53D27" w:rsidTr="006F3E14">
        <w:tc>
          <w:tcPr>
            <w:tcW w:w="2977" w:type="dxa"/>
            <w:shd w:val="clear" w:color="auto" w:fill="D99594" w:themeFill="accent2" w:themeFillTint="99"/>
          </w:tcPr>
          <w:p w:rsidR="00FC6962" w:rsidRPr="00C53D27" w:rsidRDefault="00FC6962" w:rsidP="00DB344C">
            <w:pPr>
              <w:jc w:val="both"/>
              <w:rPr>
                <w:lang w:val="en-GB"/>
              </w:rPr>
            </w:pPr>
            <w:r w:rsidRPr="00C53D27">
              <w:rPr>
                <w:lang w:val="en-GB"/>
              </w:rPr>
              <w:t>Project acronym</w:t>
            </w:r>
          </w:p>
        </w:tc>
        <w:tc>
          <w:tcPr>
            <w:tcW w:w="6662" w:type="dxa"/>
          </w:tcPr>
          <w:p w:rsidR="00FC6962" w:rsidRPr="00DF0965" w:rsidRDefault="00DF0965" w:rsidP="00DB344C">
            <w:pPr>
              <w:jc w:val="both"/>
              <w:rPr>
                <w:szCs w:val="24"/>
                <w:lang w:val="en-GB"/>
              </w:rPr>
            </w:pPr>
            <w:r w:rsidRPr="00DF0965">
              <w:rPr>
                <w:szCs w:val="24"/>
                <w:lang w:val="en-GB"/>
              </w:rPr>
              <w:t>HEPMP</w:t>
            </w:r>
          </w:p>
        </w:tc>
      </w:tr>
      <w:tr w:rsidR="00FC6962" w:rsidRPr="00C53D27" w:rsidTr="006F3E14">
        <w:tc>
          <w:tcPr>
            <w:tcW w:w="2977" w:type="dxa"/>
            <w:shd w:val="clear" w:color="auto" w:fill="D99594" w:themeFill="accent2" w:themeFillTint="99"/>
          </w:tcPr>
          <w:p w:rsidR="00FC6962" w:rsidRPr="00C53D27" w:rsidRDefault="00FC6962" w:rsidP="00DB344C">
            <w:pPr>
              <w:jc w:val="both"/>
              <w:rPr>
                <w:lang w:val="en-GB"/>
              </w:rPr>
            </w:pPr>
            <w:r w:rsidRPr="00C53D27">
              <w:rPr>
                <w:lang w:val="en-GB"/>
              </w:rPr>
              <w:t>Project reference number</w:t>
            </w:r>
          </w:p>
        </w:tc>
        <w:tc>
          <w:tcPr>
            <w:tcW w:w="6662" w:type="dxa"/>
          </w:tcPr>
          <w:p w:rsidR="00FC6962" w:rsidRPr="00DF0965" w:rsidRDefault="00DF0965" w:rsidP="00DB344C">
            <w:pPr>
              <w:jc w:val="both"/>
              <w:rPr>
                <w:szCs w:val="24"/>
                <w:lang w:val="en-GB"/>
              </w:rPr>
            </w:pPr>
            <w:r w:rsidRPr="00DF0965">
              <w:rPr>
                <w:szCs w:val="24"/>
                <w:shd w:val="clear" w:color="auto" w:fill="FFFFFF"/>
              </w:rPr>
              <w:t>585927-EPP-1-2017-1-RS-EPPKA2-CBHE-JP</w:t>
            </w:r>
          </w:p>
        </w:tc>
      </w:tr>
      <w:tr w:rsidR="00FC6962" w:rsidRPr="00C53D27" w:rsidTr="006F3E14">
        <w:tc>
          <w:tcPr>
            <w:tcW w:w="2977" w:type="dxa"/>
            <w:shd w:val="clear" w:color="auto" w:fill="D99594" w:themeFill="accent2" w:themeFillTint="99"/>
          </w:tcPr>
          <w:p w:rsidR="00FC6962" w:rsidRPr="00C53D27" w:rsidRDefault="00FC6962" w:rsidP="00DB344C">
            <w:pPr>
              <w:jc w:val="both"/>
              <w:rPr>
                <w:lang w:val="en-GB"/>
              </w:rPr>
            </w:pPr>
            <w:r w:rsidRPr="00C53D27">
              <w:rPr>
                <w:lang w:val="en-GB"/>
              </w:rPr>
              <w:t>Coordinator</w:t>
            </w:r>
          </w:p>
        </w:tc>
        <w:tc>
          <w:tcPr>
            <w:tcW w:w="6662" w:type="dxa"/>
          </w:tcPr>
          <w:p w:rsidR="00FC6962" w:rsidRPr="00DF0965" w:rsidRDefault="00FC6962" w:rsidP="00DB344C">
            <w:pPr>
              <w:jc w:val="both"/>
              <w:rPr>
                <w:szCs w:val="24"/>
                <w:lang w:val="en-GB"/>
              </w:rPr>
            </w:pPr>
            <w:r w:rsidRPr="00DF0965">
              <w:rPr>
                <w:szCs w:val="24"/>
                <w:lang w:val="en-GB"/>
              </w:rPr>
              <w:t xml:space="preserve">University of </w:t>
            </w:r>
            <w:r w:rsidR="00894C80">
              <w:rPr>
                <w:szCs w:val="24"/>
                <w:lang w:val="en-GB"/>
              </w:rPr>
              <w:t>Belgrade</w:t>
            </w:r>
          </w:p>
        </w:tc>
      </w:tr>
      <w:tr w:rsidR="00FC6962" w:rsidRPr="00C53D27" w:rsidTr="006F3E14">
        <w:tc>
          <w:tcPr>
            <w:tcW w:w="2977" w:type="dxa"/>
            <w:shd w:val="clear" w:color="auto" w:fill="D99594" w:themeFill="accent2" w:themeFillTint="99"/>
          </w:tcPr>
          <w:p w:rsidR="00FC6962" w:rsidRPr="00C53D27" w:rsidRDefault="00FC6962" w:rsidP="00DB344C">
            <w:pPr>
              <w:jc w:val="both"/>
              <w:rPr>
                <w:lang w:val="en-GB"/>
              </w:rPr>
            </w:pPr>
            <w:r w:rsidRPr="00C53D27">
              <w:rPr>
                <w:lang w:val="en-GB"/>
              </w:rPr>
              <w:t>Project start date</w:t>
            </w:r>
          </w:p>
        </w:tc>
        <w:tc>
          <w:tcPr>
            <w:tcW w:w="6662" w:type="dxa"/>
          </w:tcPr>
          <w:p w:rsidR="00FC6962" w:rsidRPr="00DF0965" w:rsidRDefault="00FC6962" w:rsidP="00DB344C">
            <w:pPr>
              <w:jc w:val="both"/>
              <w:rPr>
                <w:szCs w:val="24"/>
                <w:lang w:val="en-GB"/>
              </w:rPr>
            </w:pPr>
            <w:r w:rsidRPr="00DF0965">
              <w:rPr>
                <w:szCs w:val="24"/>
                <w:lang w:val="en-GB"/>
              </w:rPr>
              <w:t>October 15, 201</w:t>
            </w:r>
            <w:r w:rsidR="00DF0965" w:rsidRPr="00DF0965">
              <w:rPr>
                <w:szCs w:val="24"/>
                <w:lang w:val="en-GB"/>
              </w:rPr>
              <w:t>7</w:t>
            </w:r>
          </w:p>
        </w:tc>
      </w:tr>
      <w:tr w:rsidR="00FC6962" w:rsidRPr="00C53D27" w:rsidTr="006F3E14">
        <w:tc>
          <w:tcPr>
            <w:tcW w:w="2977" w:type="dxa"/>
            <w:shd w:val="clear" w:color="auto" w:fill="D99594" w:themeFill="accent2" w:themeFillTint="99"/>
          </w:tcPr>
          <w:p w:rsidR="00FC6962" w:rsidRPr="00C53D27" w:rsidRDefault="00FC6962" w:rsidP="00DB344C">
            <w:pPr>
              <w:jc w:val="both"/>
              <w:rPr>
                <w:lang w:val="en-GB"/>
              </w:rPr>
            </w:pPr>
            <w:r w:rsidRPr="00C53D27">
              <w:rPr>
                <w:lang w:val="en-GB"/>
              </w:rPr>
              <w:t>Project duration</w:t>
            </w:r>
          </w:p>
        </w:tc>
        <w:tc>
          <w:tcPr>
            <w:tcW w:w="6662" w:type="dxa"/>
          </w:tcPr>
          <w:p w:rsidR="00FC6962" w:rsidRPr="00DF0965" w:rsidRDefault="00FC6962" w:rsidP="00DB344C">
            <w:pPr>
              <w:jc w:val="both"/>
              <w:rPr>
                <w:szCs w:val="24"/>
                <w:lang w:val="en-GB"/>
              </w:rPr>
            </w:pPr>
            <w:r w:rsidRPr="00DF0965">
              <w:rPr>
                <w:szCs w:val="24"/>
                <w:lang w:val="en-GB"/>
              </w:rPr>
              <w:t>36 months</w:t>
            </w:r>
          </w:p>
        </w:tc>
      </w:tr>
    </w:tbl>
    <w:p w:rsidR="0032106E" w:rsidRDefault="0032106E" w:rsidP="00DB344C">
      <w:pPr>
        <w:spacing w:after="120" w:line="360" w:lineRule="auto"/>
        <w:ind w:left="284" w:right="902"/>
        <w:jc w:val="both"/>
      </w:pPr>
    </w:p>
    <w:tbl>
      <w:tblPr>
        <w:tblStyle w:val="TableGrid"/>
        <w:tblpPr w:leftFromText="180" w:rightFromText="180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2943"/>
        <w:gridCol w:w="6663"/>
      </w:tblGrid>
      <w:tr w:rsidR="008141F4" w:rsidTr="006F3E14">
        <w:tc>
          <w:tcPr>
            <w:tcW w:w="2943" w:type="dxa"/>
            <w:shd w:val="clear" w:color="auto" w:fill="D99594" w:themeFill="accent2" w:themeFillTint="99"/>
          </w:tcPr>
          <w:p w:rsidR="008141F4" w:rsidRDefault="008141F4" w:rsidP="00DB344C">
            <w:pPr>
              <w:spacing w:after="120"/>
              <w:ind w:right="902"/>
              <w:jc w:val="both"/>
            </w:pPr>
            <w:r>
              <w:t>Event</w:t>
            </w:r>
          </w:p>
        </w:tc>
        <w:tc>
          <w:tcPr>
            <w:tcW w:w="6663" w:type="dxa"/>
          </w:tcPr>
          <w:p w:rsidR="008141F4" w:rsidRDefault="00DB344C" w:rsidP="00DB344C">
            <w:pPr>
              <w:spacing w:after="120"/>
              <w:ind w:right="902"/>
              <w:jc w:val="both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second</w:t>
            </w:r>
            <w:proofErr w:type="spellEnd"/>
            <w:r w:rsidR="00D06C06">
              <w:t xml:space="preserve"> </w:t>
            </w:r>
            <w:proofErr w:type="spellStart"/>
            <w:r w:rsidR="00D06C06">
              <w:t>course</w:t>
            </w:r>
            <w:proofErr w:type="spellEnd"/>
            <w:r>
              <w:t xml:space="preserve"> in</w:t>
            </w:r>
            <w:r w:rsidR="00D06C06">
              <w:t xml:space="preserve"> </w:t>
            </w:r>
            <w:proofErr w:type="spellStart"/>
            <w:r w:rsidR="00D06C06">
              <w:t>primary</w:t>
            </w:r>
            <w:proofErr w:type="spellEnd"/>
            <w:r w:rsidR="00D06C06">
              <w:t xml:space="preserve"> </w:t>
            </w:r>
            <w:proofErr w:type="spellStart"/>
            <w:r w:rsidR="00D06C06">
              <w:t>health</w:t>
            </w:r>
            <w:proofErr w:type="spellEnd"/>
            <w:r w:rsidR="00D06C06">
              <w:t xml:space="preserve"> care: </w:t>
            </w:r>
            <w:proofErr w:type="spellStart"/>
            <w:r>
              <w:t>Cancer</w:t>
            </w:r>
            <w:proofErr w:type="spellEnd"/>
            <w:r>
              <w:t xml:space="preserve"> </w:t>
            </w:r>
            <w:proofErr w:type="spellStart"/>
            <w:r>
              <w:t>pain</w:t>
            </w:r>
            <w:proofErr w:type="spellEnd"/>
          </w:p>
        </w:tc>
      </w:tr>
      <w:tr w:rsidR="008141F4" w:rsidTr="006F3E14">
        <w:tc>
          <w:tcPr>
            <w:tcW w:w="2943" w:type="dxa"/>
            <w:shd w:val="clear" w:color="auto" w:fill="D99594" w:themeFill="accent2" w:themeFillTint="99"/>
          </w:tcPr>
          <w:p w:rsidR="008141F4" w:rsidRDefault="008141F4" w:rsidP="00DB344C">
            <w:pPr>
              <w:spacing w:after="120"/>
              <w:ind w:right="902"/>
              <w:jc w:val="both"/>
            </w:pPr>
            <w:proofErr w:type="spellStart"/>
            <w:r>
              <w:t>Type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event</w:t>
            </w:r>
          </w:p>
        </w:tc>
        <w:tc>
          <w:tcPr>
            <w:tcW w:w="6663" w:type="dxa"/>
          </w:tcPr>
          <w:p w:rsidR="00446CB5" w:rsidRDefault="00446CB5" w:rsidP="00DB344C">
            <w:pPr>
              <w:spacing w:after="120"/>
              <w:ind w:right="902"/>
              <w:jc w:val="both"/>
            </w:pPr>
            <w:r>
              <w:t xml:space="preserve">WP3 (Development </w:t>
            </w:r>
            <w:proofErr w:type="spellStart"/>
            <w:r>
              <w:t>of</w:t>
            </w:r>
            <w:proofErr w:type="spellEnd"/>
            <w:r>
              <w:t xml:space="preserve"> LLL </w:t>
            </w:r>
            <w:proofErr w:type="spellStart"/>
            <w:r>
              <w:t>courses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interventional</w:t>
            </w:r>
            <w:proofErr w:type="spellEnd"/>
            <w:r>
              <w:t xml:space="preserve"> </w:t>
            </w:r>
            <w:proofErr w:type="spellStart"/>
            <w:r>
              <w:t>pain</w:t>
            </w:r>
            <w:proofErr w:type="spellEnd"/>
            <w:r>
              <w:t xml:space="preserve"> medicine </w:t>
            </w:r>
            <w:proofErr w:type="spellStart"/>
            <w:r>
              <w:t>courses</w:t>
            </w:r>
            <w:proofErr w:type="spellEnd"/>
            <w:r>
              <w:t xml:space="preserve">) </w:t>
            </w:r>
          </w:p>
          <w:p w:rsidR="008141F4" w:rsidRDefault="00446CB5" w:rsidP="00DB344C">
            <w:pPr>
              <w:spacing w:after="120"/>
              <w:ind w:right="902"/>
              <w:jc w:val="both"/>
            </w:pPr>
            <w:r>
              <w:t xml:space="preserve">3.4. </w:t>
            </w:r>
            <w:proofErr w:type="spellStart"/>
            <w:r>
              <w:t>Delivering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LLL </w:t>
            </w:r>
            <w:proofErr w:type="spellStart"/>
            <w:r>
              <w:t>courses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pain</w:t>
            </w:r>
            <w:proofErr w:type="spellEnd"/>
            <w:r>
              <w:t xml:space="preserve"> medicine in </w:t>
            </w:r>
            <w:proofErr w:type="spellStart"/>
            <w:r>
              <w:t>primary</w:t>
            </w:r>
            <w:proofErr w:type="spellEnd"/>
            <w:r>
              <w:t xml:space="preserve"> </w:t>
            </w:r>
            <w:proofErr w:type="spellStart"/>
            <w:r>
              <w:t>health</w:t>
            </w:r>
            <w:proofErr w:type="spellEnd"/>
            <w:r>
              <w:t xml:space="preserve"> care </w:t>
            </w:r>
            <w:proofErr w:type="spellStart"/>
            <w:r>
              <w:t>centers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PCs</w:t>
            </w:r>
            <w:proofErr w:type="spellEnd"/>
          </w:p>
        </w:tc>
      </w:tr>
      <w:tr w:rsidR="008141F4" w:rsidTr="006F3E14">
        <w:tc>
          <w:tcPr>
            <w:tcW w:w="2943" w:type="dxa"/>
            <w:shd w:val="clear" w:color="auto" w:fill="D99594" w:themeFill="accent2" w:themeFillTint="99"/>
          </w:tcPr>
          <w:p w:rsidR="008141F4" w:rsidRDefault="008141F4" w:rsidP="00DB344C">
            <w:pPr>
              <w:spacing w:after="120"/>
              <w:ind w:right="902"/>
              <w:jc w:val="both"/>
            </w:pPr>
            <w:proofErr w:type="spellStart"/>
            <w:r>
              <w:t>Venue</w:t>
            </w:r>
            <w:proofErr w:type="spellEnd"/>
          </w:p>
        </w:tc>
        <w:tc>
          <w:tcPr>
            <w:tcW w:w="6663" w:type="dxa"/>
          </w:tcPr>
          <w:p w:rsidR="008141F4" w:rsidRDefault="00446CB5" w:rsidP="00DB344C">
            <w:pPr>
              <w:spacing w:after="120"/>
              <w:ind w:right="902"/>
              <w:jc w:val="both"/>
            </w:pPr>
            <w:proofErr w:type="spellStart"/>
            <w:r>
              <w:t>Primary</w:t>
            </w:r>
            <w:proofErr w:type="spellEnd"/>
            <w:r>
              <w:t xml:space="preserve"> </w:t>
            </w:r>
            <w:proofErr w:type="spellStart"/>
            <w:r>
              <w:t>health</w:t>
            </w:r>
            <w:proofErr w:type="spellEnd"/>
            <w:r>
              <w:t xml:space="preserve"> care </w:t>
            </w:r>
            <w:proofErr w:type="spellStart"/>
            <w:r>
              <w:t>center</w:t>
            </w:r>
            <w:proofErr w:type="spellEnd"/>
            <w:r>
              <w:t xml:space="preserve"> </w:t>
            </w:r>
            <w:proofErr w:type="spellStart"/>
            <w:r>
              <w:t>Indjija</w:t>
            </w:r>
            <w:proofErr w:type="spellEnd"/>
          </w:p>
        </w:tc>
      </w:tr>
      <w:tr w:rsidR="008141F4" w:rsidTr="006F3E14">
        <w:tc>
          <w:tcPr>
            <w:tcW w:w="2943" w:type="dxa"/>
            <w:shd w:val="clear" w:color="auto" w:fill="D99594" w:themeFill="accent2" w:themeFillTint="99"/>
          </w:tcPr>
          <w:p w:rsidR="008141F4" w:rsidRDefault="008141F4" w:rsidP="00DB344C">
            <w:pPr>
              <w:spacing w:after="120"/>
              <w:ind w:right="902"/>
              <w:jc w:val="both"/>
            </w:pPr>
            <w:r>
              <w:t>Date</w:t>
            </w:r>
          </w:p>
        </w:tc>
        <w:tc>
          <w:tcPr>
            <w:tcW w:w="6663" w:type="dxa"/>
          </w:tcPr>
          <w:p w:rsidR="008141F4" w:rsidRDefault="00596316" w:rsidP="00DB344C">
            <w:pPr>
              <w:spacing w:after="120"/>
              <w:ind w:right="902"/>
              <w:jc w:val="both"/>
            </w:pPr>
            <w:r>
              <w:t>2.12</w:t>
            </w:r>
            <w:r w:rsidR="00446CB5">
              <w:t>.2019.</w:t>
            </w:r>
          </w:p>
        </w:tc>
      </w:tr>
      <w:tr w:rsidR="008141F4" w:rsidTr="006F3E14">
        <w:tc>
          <w:tcPr>
            <w:tcW w:w="2943" w:type="dxa"/>
            <w:shd w:val="clear" w:color="auto" w:fill="D99594" w:themeFill="accent2" w:themeFillTint="99"/>
          </w:tcPr>
          <w:p w:rsidR="008141F4" w:rsidRDefault="008141F4" w:rsidP="00DB344C">
            <w:pPr>
              <w:spacing w:after="120"/>
              <w:ind w:right="902"/>
              <w:jc w:val="both"/>
            </w:pPr>
            <w:proofErr w:type="spellStart"/>
            <w:r>
              <w:t>Organizer</w:t>
            </w:r>
            <w:proofErr w:type="spellEnd"/>
          </w:p>
        </w:tc>
        <w:tc>
          <w:tcPr>
            <w:tcW w:w="6663" w:type="dxa"/>
          </w:tcPr>
          <w:p w:rsidR="008141F4" w:rsidRDefault="00446CB5" w:rsidP="00DB344C">
            <w:pPr>
              <w:spacing w:after="120"/>
              <w:ind w:right="902"/>
              <w:jc w:val="both"/>
            </w:pPr>
            <w:r>
              <w:t>MFUB, UHCDM</w:t>
            </w:r>
          </w:p>
        </w:tc>
      </w:tr>
      <w:tr w:rsidR="008141F4" w:rsidTr="006F3E14">
        <w:tc>
          <w:tcPr>
            <w:tcW w:w="2943" w:type="dxa"/>
            <w:shd w:val="clear" w:color="auto" w:fill="D99594" w:themeFill="accent2" w:themeFillTint="99"/>
          </w:tcPr>
          <w:p w:rsidR="008141F4" w:rsidRDefault="008141F4" w:rsidP="00DB344C">
            <w:pPr>
              <w:spacing w:after="120"/>
              <w:ind w:right="902"/>
              <w:jc w:val="both"/>
            </w:pPr>
            <w:proofErr w:type="spellStart"/>
            <w:r>
              <w:t>Reporting</w:t>
            </w:r>
            <w:proofErr w:type="spellEnd"/>
            <w:r>
              <w:t xml:space="preserve"> date</w:t>
            </w:r>
          </w:p>
        </w:tc>
        <w:tc>
          <w:tcPr>
            <w:tcW w:w="6663" w:type="dxa"/>
          </w:tcPr>
          <w:p w:rsidR="008141F4" w:rsidRDefault="00DB344C" w:rsidP="00DB344C">
            <w:pPr>
              <w:spacing w:after="120"/>
              <w:ind w:right="902"/>
              <w:jc w:val="both"/>
            </w:pPr>
            <w:r>
              <w:t>06</w:t>
            </w:r>
            <w:r w:rsidR="00596316">
              <w:t>.12</w:t>
            </w:r>
            <w:r w:rsidR="00446CB5">
              <w:t>.2019.</w:t>
            </w:r>
          </w:p>
        </w:tc>
      </w:tr>
      <w:tr w:rsidR="008141F4" w:rsidTr="006F3E14">
        <w:tc>
          <w:tcPr>
            <w:tcW w:w="2943" w:type="dxa"/>
            <w:shd w:val="clear" w:color="auto" w:fill="D99594" w:themeFill="accent2" w:themeFillTint="99"/>
          </w:tcPr>
          <w:p w:rsidR="008141F4" w:rsidRDefault="008141F4" w:rsidP="00DB344C">
            <w:pPr>
              <w:spacing w:after="120"/>
              <w:ind w:right="902"/>
              <w:jc w:val="both"/>
            </w:pPr>
            <w:proofErr w:type="spellStart"/>
            <w:r>
              <w:t>Report</w:t>
            </w:r>
            <w:proofErr w:type="spellEnd"/>
            <w:r>
              <w:t xml:space="preserve"> </w:t>
            </w:r>
            <w:proofErr w:type="spellStart"/>
            <w:r>
              <w:t>author</w:t>
            </w:r>
            <w:proofErr w:type="spellEnd"/>
            <w:r>
              <w:t>(s)</w:t>
            </w:r>
          </w:p>
        </w:tc>
        <w:tc>
          <w:tcPr>
            <w:tcW w:w="6663" w:type="dxa"/>
          </w:tcPr>
          <w:p w:rsidR="008141F4" w:rsidRDefault="00596316" w:rsidP="00DB344C">
            <w:pPr>
              <w:spacing w:after="120"/>
              <w:ind w:right="902"/>
              <w:jc w:val="both"/>
            </w:pPr>
            <w:r>
              <w:t xml:space="preserve">Prof. dr </w:t>
            </w:r>
            <w:r w:rsidR="00446CB5">
              <w:t xml:space="preserve">Predrag </w:t>
            </w:r>
            <w:proofErr w:type="spellStart"/>
            <w:r w:rsidR="00446CB5">
              <w:t>Stevanovic</w:t>
            </w:r>
            <w:proofErr w:type="spellEnd"/>
            <w:r>
              <w:t xml:space="preserve">, Sanja </w:t>
            </w:r>
            <w:proofErr w:type="spellStart"/>
            <w:r>
              <w:t>Ivankovic</w:t>
            </w:r>
            <w:proofErr w:type="spellEnd"/>
          </w:p>
        </w:tc>
      </w:tr>
    </w:tbl>
    <w:p w:rsidR="00242A86" w:rsidRDefault="00242A86" w:rsidP="00DB344C">
      <w:pPr>
        <w:spacing w:after="120" w:line="360" w:lineRule="auto"/>
        <w:ind w:left="284" w:right="902"/>
        <w:jc w:val="both"/>
      </w:pPr>
    </w:p>
    <w:p w:rsidR="008141F4" w:rsidRDefault="008141F4" w:rsidP="00DB344C">
      <w:pPr>
        <w:spacing w:after="120" w:line="360" w:lineRule="auto"/>
        <w:ind w:left="284" w:right="902"/>
        <w:jc w:val="both"/>
      </w:pPr>
    </w:p>
    <w:p w:rsidR="00242A86" w:rsidRDefault="00242A86" w:rsidP="00DB344C">
      <w:pPr>
        <w:spacing w:after="120" w:line="360" w:lineRule="auto"/>
        <w:ind w:left="284" w:right="902"/>
        <w:jc w:val="both"/>
      </w:pPr>
    </w:p>
    <w:p w:rsidR="00E843F7" w:rsidRDefault="00E843F7" w:rsidP="00DB344C">
      <w:pPr>
        <w:spacing w:after="120" w:line="360" w:lineRule="auto"/>
        <w:ind w:left="284" w:right="902"/>
        <w:jc w:val="both"/>
      </w:pPr>
    </w:p>
    <w:p w:rsidR="00242A86" w:rsidRPr="00242A86" w:rsidRDefault="00242A86" w:rsidP="00DB344C">
      <w:pPr>
        <w:jc w:val="both"/>
      </w:pPr>
    </w:p>
    <w:p w:rsidR="00242A86" w:rsidRPr="00242A86" w:rsidRDefault="00242A86" w:rsidP="00DB344C">
      <w:pPr>
        <w:jc w:val="both"/>
      </w:pPr>
    </w:p>
    <w:p w:rsidR="00242A86" w:rsidRPr="00242A86" w:rsidRDefault="00242A86" w:rsidP="00DB344C">
      <w:pPr>
        <w:jc w:val="both"/>
      </w:pPr>
    </w:p>
    <w:p w:rsidR="00242A86" w:rsidRPr="00242A86" w:rsidRDefault="00242A86" w:rsidP="00DB344C">
      <w:pPr>
        <w:jc w:val="both"/>
      </w:pPr>
    </w:p>
    <w:p w:rsidR="00242A86" w:rsidRPr="00242A86" w:rsidRDefault="00242A86" w:rsidP="00DB344C">
      <w:pPr>
        <w:jc w:val="both"/>
      </w:pPr>
    </w:p>
    <w:p w:rsidR="00242A86" w:rsidRPr="00242A86" w:rsidRDefault="00242A86" w:rsidP="00DB344C">
      <w:pPr>
        <w:jc w:val="both"/>
      </w:pPr>
    </w:p>
    <w:p w:rsidR="00242A86" w:rsidRPr="00242A86" w:rsidRDefault="00242A86" w:rsidP="00DB344C">
      <w:pPr>
        <w:jc w:val="both"/>
      </w:pPr>
    </w:p>
    <w:p w:rsidR="00242A86" w:rsidRPr="00242A86" w:rsidRDefault="00242A86" w:rsidP="00DB344C">
      <w:pPr>
        <w:jc w:val="both"/>
      </w:pPr>
    </w:p>
    <w:p w:rsidR="00242A86" w:rsidRPr="00242A86" w:rsidRDefault="00366453" w:rsidP="00DB344C">
      <w:pPr>
        <w:jc w:val="both"/>
      </w:pPr>
      <w:r>
        <w:rPr>
          <w:noProof/>
        </w:rPr>
        <w:pict w14:anchorId="2E8EF54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2.7pt;margin-top:10.7pt;width:448.8pt;height:69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" strokecolor="red">
            <v:textbox style="mso-fit-shape-to-text:t">
              <w:txbxContent>
                <w:p w:rsidR="00CB0ECE" w:rsidRDefault="00CB0ECE" w:rsidP="00B21E7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</w:pPr>
                  <w:r w:rsidRPr="00F074A8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Project number:585927-EPP-1-2017-1-RS-EPPKA2-C</w:t>
                  </w:r>
                  <w:r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BHE-JP (2017 – 3109 / 001 – 001)</w:t>
                  </w:r>
                </w:p>
                <w:p w:rsidR="00CB0ECE" w:rsidRPr="003025A0" w:rsidRDefault="00CB0ECE" w:rsidP="00B21E71">
                  <w:pPr>
                    <w:jc w:val="center"/>
                    <w:rPr>
                      <w:lang w:val="en-US"/>
                    </w:rPr>
                  </w:pPr>
                </w:p>
                <w:p w:rsidR="00CB0ECE" w:rsidRPr="00C82908" w:rsidRDefault="00CB0ECE" w:rsidP="00B21E71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i/>
                      <w:sz w:val="20"/>
                      <w:szCs w:val="20"/>
                    </w:rPr>
                  </w:pPr>
                  <w:r w:rsidRPr="00C82908">
                    <w:rPr>
                      <w:i/>
                      <w:sz w:val="20"/>
                      <w:szCs w:val="20"/>
                    </w:rPr>
                    <w:t>This project has been funded with support from the European Commission.</w:t>
                  </w:r>
                </w:p>
                <w:p w:rsidR="00CB0ECE" w:rsidRPr="003025A0" w:rsidRDefault="00CB0ECE" w:rsidP="00B21E71">
                  <w:pPr>
                    <w:jc w:val="center"/>
                    <w:rPr>
                      <w:lang w:val="en-US"/>
                    </w:rPr>
                  </w:pPr>
                  <w:proofErr w:type="spellStart"/>
                  <w:r w:rsidRPr="00C82908">
                    <w:rPr>
                      <w:i/>
                      <w:sz w:val="20"/>
                      <w:szCs w:val="20"/>
                    </w:rPr>
                    <w:t>This</w:t>
                  </w:r>
                  <w:proofErr w:type="spellEnd"/>
                  <w:r w:rsidRPr="00C82908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82908">
                    <w:rPr>
                      <w:i/>
                      <w:sz w:val="20"/>
                      <w:szCs w:val="20"/>
                    </w:rPr>
                    <w:t>publication</w:t>
                  </w:r>
                  <w:proofErr w:type="spellEnd"/>
                  <w:r w:rsidRPr="00C82908">
                    <w:rPr>
                      <w:i/>
                      <w:sz w:val="20"/>
                      <w:szCs w:val="20"/>
                    </w:rPr>
                    <w:t xml:space="preserve"> [</w:t>
                  </w:r>
                  <w:proofErr w:type="spellStart"/>
                  <w:r w:rsidRPr="00C82908">
                    <w:rPr>
                      <w:i/>
                      <w:sz w:val="20"/>
                      <w:szCs w:val="20"/>
                    </w:rPr>
                    <w:t>communication</w:t>
                  </w:r>
                  <w:proofErr w:type="spellEnd"/>
                  <w:r w:rsidRPr="00C82908">
                    <w:rPr>
                      <w:i/>
                      <w:sz w:val="20"/>
                      <w:szCs w:val="20"/>
                    </w:rPr>
                    <w:t xml:space="preserve">] </w:t>
                  </w:r>
                  <w:proofErr w:type="spellStart"/>
                  <w:r w:rsidRPr="00C82908">
                    <w:rPr>
                      <w:i/>
                      <w:sz w:val="20"/>
                      <w:szCs w:val="20"/>
                    </w:rPr>
                    <w:t>reflects</w:t>
                  </w:r>
                  <w:proofErr w:type="spellEnd"/>
                  <w:r w:rsidRPr="00C82908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82908">
                    <w:rPr>
                      <w:i/>
                      <w:sz w:val="20"/>
                      <w:szCs w:val="20"/>
                    </w:rPr>
                    <w:t>the</w:t>
                  </w:r>
                  <w:proofErr w:type="spellEnd"/>
                  <w:r w:rsidRPr="00C82908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82908">
                    <w:rPr>
                      <w:i/>
                      <w:sz w:val="20"/>
                      <w:szCs w:val="20"/>
                    </w:rPr>
                    <w:t>views</w:t>
                  </w:r>
                  <w:proofErr w:type="spellEnd"/>
                  <w:r w:rsidRPr="00C82908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82908">
                    <w:rPr>
                      <w:i/>
                      <w:sz w:val="20"/>
                      <w:szCs w:val="20"/>
                    </w:rPr>
                    <w:t>only</w:t>
                  </w:r>
                  <w:proofErr w:type="spellEnd"/>
                  <w:r w:rsidRPr="00C82908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82908">
                    <w:rPr>
                      <w:i/>
                      <w:sz w:val="20"/>
                      <w:szCs w:val="20"/>
                    </w:rPr>
                    <w:t>of</w:t>
                  </w:r>
                  <w:proofErr w:type="spellEnd"/>
                  <w:r w:rsidRPr="00C82908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82908">
                    <w:rPr>
                      <w:i/>
                      <w:sz w:val="20"/>
                      <w:szCs w:val="20"/>
                    </w:rPr>
                    <w:t>the</w:t>
                  </w:r>
                  <w:proofErr w:type="spellEnd"/>
                  <w:r w:rsidRPr="00C82908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82908">
                    <w:rPr>
                      <w:i/>
                      <w:sz w:val="20"/>
                      <w:szCs w:val="20"/>
                    </w:rPr>
                    <w:t>author</w:t>
                  </w:r>
                  <w:proofErr w:type="spellEnd"/>
                  <w:r w:rsidRPr="00C82908">
                    <w:rPr>
                      <w:i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82908">
                    <w:rPr>
                      <w:i/>
                      <w:sz w:val="20"/>
                      <w:szCs w:val="20"/>
                    </w:rPr>
                    <w:t>and</w:t>
                  </w:r>
                  <w:proofErr w:type="spellEnd"/>
                  <w:r w:rsidRPr="00C82908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82908">
                    <w:rPr>
                      <w:i/>
                      <w:sz w:val="20"/>
                      <w:szCs w:val="20"/>
                    </w:rPr>
                    <w:t>the</w:t>
                  </w:r>
                  <w:proofErr w:type="spellEnd"/>
                  <w:r w:rsidRPr="00C82908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82908">
                    <w:rPr>
                      <w:i/>
                      <w:sz w:val="20"/>
                      <w:szCs w:val="20"/>
                    </w:rPr>
                    <w:t>Commission</w:t>
                  </w:r>
                  <w:proofErr w:type="spellEnd"/>
                  <w:r w:rsidRPr="00C82908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82908">
                    <w:rPr>
                      <w:i/>
                      <w:sz w:val="20"/>
                      <w:szCs w:val="20"/>
                    </w:rPr>
                    <w:t>cannot</w:t>
                  </w:r>
                  <w:proofErr w:type="spellEnd"/>
                  <w:r w:rsidRPr="00C82908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82908">
                    <w:rPr>
                      <w:i/>
                      <w:sz w:val="20"/>
                      <w:szCs w:val="20"/>
                    </w:rPr>
                    <w:t>be</w:t>
                  </w:r>
                  <w:proofErr w:type="spellEnd"/>
                  <w:r w:rsidRPr="00C82908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82908">
                    <w:rPr>
                      <w:i/>
                      <w:sz w:val="20"/>
                      <w:szCs w:val="20"/>
                    </w:rPr>
                    <w:t>held</w:t>
                  </w:r>
                  <w:proofErr w:type="spellEnd"/>
                  <w:r w:rsidRPr="00C82908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82908">
                    <w:rPr>
                      <w:i/>
                      <w:sz w:val="20"/>
                      <w:szCs w:val="20"/>
                    </w:rPr>
                    <w:t>responsible</w:t>
                  </w:r>
                  <w:proofErr w:type="spellEnd"/>
                  <w:r w:rsidRPr="00C82908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82908">
                    <w:rPr>
                      <w:i/>
                      <w:sz w:val="20"/>
                      <w:szCs w:val="20"/>
                    </w:rPr>
                    <w:t>for</w:t>
                  </w:r>
                  <w:proofErr w:type="spellEnd"/>
                  <w:r w:rsidRPr="00C82908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82908">
                    <w:rPr>
                      <w:i/>
                      <w:sz w:val="20"/>
                      <w:szCs w:val="20"/>
                    </w:rPr>
                    <w:t>any</w:t>
                  </w:r>
                  <w:proofErr w:type="spellEnd"/>
                  <w:r w:rsidRPr="00C82908">
                    <w:rPr>
                      <w:i/>
                      <w:sz w:val="20"/>
                      <w:szCs w:val="20"/>
                    </w:rPr>
                    <w:t xml:space="preserve"> use </w:t>
                  </w:r>
                  <w:proofErr w:type="spellStart"/>
                  <w:r w:rsidRPr="00C82908">
                    <w:rPr>
                      <w:i/>
                      <w:sz w:val="20"/>
                      <w:szCs w:val="20"/>
                    </w:rPr>
                    <w:t>which</w:t>
                  </w:r>
                  <w:proofErr w:type="spellEnd"/>
                  <w:r w:rsidRPr="00C82908">
                    <w:rPr>
                      <w:i/>
                      <w:sz w:val="20"/>
                      <w:szCs w:val="20"/>
                    </w:rPr>
                    <w:t xml:space="preserve"> ma y </w:t>
                  </w:r>
                  <w:proofErr w:type="spellStart"/>
                  <w:r w:rsidRPr="00C82908">
                    <w:rPr>
                      <w:i/>
                      <w:sz w:val="20"/>
                      <w:szCs w:val="20"/>
                    </w:rPr>
                    <w:t>be</w:t>
                  </w:r>
                  <w:proofErr w:type="spellEnd"/>
                  <w:r w:rsidRPr="00C82908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82908">
                    <w:rPr>
                      <w:i/>
                      <w:sz w:val="20"/>
                      <w:szCs w:val="20"/>
                    </w:rPr>
                    <w:t>made</w:t>
                  </w:r>
                  <w:proofErr w:type="spellEnd"/>
                  <w:r w:rsidRPr="00C82908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82908">
                    <w:rPr>
                      <w:i/>
                      <w:sz w:val="20"/>
                      <w:szCs w:val="20"/>
                    </w:rPr>
                    <w:t>of</w:t>
                  </w:r>
                  <w:proofErr w:type="spellEnd"/>
                  <w:r w:rsidRPr="00C82908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82908">
                    <w:rPr>
                      <w:i/>
                      <w:sz w:val="20"/>
                      <w:szCs w:val="20"/>
                    </w:rPr>
                    <w:t>the</w:t>
                  </w:r>
                  <w:proofErr w:type="spellEnd"/>
                  <w:r w:rsidRPr="00C82908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82908">
                    <w:rPr>
                      <w:i/>
                      <w:sz w:val="20"/>
                      <w:szCs w:val="20"/>
                    </w:rPr>
                    <w:t>information</w:t>
                  </w:r>
                  <w:proofErr w:type="spellEnd"/>
                  <w:r w:rsidRPr="00C82908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82908">
                    <w:rPr>
                      <w:i/>
                      <w:sz w:val="20"/>
                      <w:szCs w:val="20"/>
                    </w:rPr>
                    <w:t>contained</w:t>
                  </w:r>
                  <w:proofErr w:type="spellEnd"/>
                  <w:r w:rsidRPr="00C82908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82908">
                    <w:rPr>
                      <w:i/>
                      <w:sz w:val="20"/>
                      <w:szCs w:val="20"/>
                    </w:rPr>
                    <w:t>therein</w:t>
                  </w:r>
                  <w:proofErr w:type="spellEnd"/>
                  <w:r w:rsidRPr="00C82908">
                    <w:rPr>
                      <w:i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</w:p>
    <w:p w:rsidR="00242A86" w:rsidRPr="00242A86" w:rsidRDefault="00242A86" w:rsidP="00DB344C">
      <w:pPr>
        <w:jc w:val="both"/>
      </w:pPr>
    </w:p>
    <w:p w:rsidR="00242A86" w:rsidRPr="00242A86" w:rsidRDefault="00242A86" w:rsidP="00DB344C">
      <w:pPr>
        <w:jc w:val="both"/>
      </w:pPr>
    </w:p>
    <w:p w:rsidR="00242A86" w:rsidRPr="00242A86" w:rsidRDefault="00242A86" w:rsidP="00DB344C">
      <w:pPr>
        <w:jc w:val="both"/>
      </w:pPr>
    </w:p>
    <w:p w:rsidR="00242A86" w:rsidRPr="00242A86" w:rsidRDefault="00242A86" w:rsidP="00DB344C">
      <w:pPr>
        <w:jc w:val="both"/>
      </w:pPr>
    </w:p>
    <w:p w:rsidR="00242A86" w:rsidRPr="00242A86" w:rsidRDefault="00242A86" w:rsidP="00DB344C">
      <w:pPr>
        <w:jc w:val="both"/>
      </w:pPr>
    </w:p>
    <w:p w:rsidR="00242A86" w:rsidRDefault="00242A86" w:rsidP="00DB344C">
      <w:pPr>
        <w:jc w:val="both"/>
      </w:pPr>
    </w:p>
    <w:p w:rsidR="00E37B6C" w:rsidRDefault="00E37B6C" w:rsidP="00DB344C">
      <w:pPr>
        <w:jc w:val="both"/>
      </w:pPr>
    </w:p>
    <w:p w:rsidR="00E37B6C" w:rsidRPr="00242A86" w:rsidRDefault="00E37B6C" w:rsidP="00DB344C">
      <w:pPr>
        <w:jc w:val="both"/>
      </w:pPr>
    </w:p>
    <w:p w:rsidR="008141F4" w:rsidRPr="008141F4" w:rsidRDefault="008141F4" w:rsidP="00DB344C">
      <w:pPr>
        <w:jc w:val="both"/>
        <w:rPr>
          <w:rFonts w:cs="Arial"/>
          <w:b/>
          <w:color w:val="000000" w:themeColor="text1"/>
          <w:sz w:val="32"/>
          <w:szCs w:val="32"/>
        </w:rPr>
      </w:pPr>
      <w:r w:rsidRPr="008141F4">
        <w:rPr>
          <w:rFonts w:cs="Arial"/>
          <w:b/>
          <w:color w:val="000000" w:themeColor="text1"/>
          <w:sz w:val="32"/>
          <w:szCs w:val="32"/>
        </w:rPr>
        <w:t xml:space="preserve">EVENT DESCRIPTION </w:t>
      </w:r>
    </w:p>
    <w:p w:rsidR="008141F4" w:rsidRPr="008141F4" w:rsidRDefault="008141F4" w:rsidP="00DB344C">
      <w:pPr>
        <w:jc w:val="both"/>
        <w:rPr>
          <w:rFonts w:cs="Arial"/>
          <w:b/>
          <w:color w:val="000000" w:themeColor="text1"/>
          <w:sz w:val="32"/>
          <w:szCs w:val="32"/>
        </w:rPr>
      </w:pPr>
      <w:proofErr w:type="spellStart"/>
      <w:r w:rsidRPr="008141F4">
        <w:rPr>
          <w:rFonts w:cs="Arial"/>
          <w:b/>
          <w:color w:val="000000" w:themeColor="text1"/>
          <w:sz w:val="32"/>
          <w:szCs w:val="32"/>
        </w:rPr>
        <w:lastRenderedPageBreak/>
        <w:t>with</w:t>
      </w:r>
      <w:proofErr w:type="spellEnd"/>
      <w:r w:rsidRPr="008141F4">
        <w:rPr>
          <w:rFonts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Pr="008141F4">
        <w:rPr>
          <w:rFonts w:cs="Arial"/>
          <w:b/>
          <w:color w:val="000000" w:themeColor="text1"/>
          <w:sz w:val="32"/>
          <w:szCs w:val="32"/>
        </w:rPr>
        <w:t>special</w:t>
      </w:r>
      <w:proofErr w:type="spellEnd"/>
      <w:r w:rsidRPr="008141F4">
        <w:rPr>
          <w:rFonts w:cs="Arial"/>
          <w:b/>
          <w:color w:val="000000" w:themeColor="text1"/>
          <w:sz w:val="32"/>
          <w:szCs w:val="32"/>
        </w:rPr>
        <w:t xml:space="preserve"> reference to </w:t>
      </w:r>
      <w:proofErr w:type="spellStart"/>
      <w:r w:rsidRPr="008141F4">
        <w:rPr>
          <w:rFonts w:cs="Arial"/>
          <w:b/>
          <w:color w:val="000000" w:themeColor="text1"/>
          <w:sz w:val="32"/>
          <w:szCs w:val="32"/>
        </w:rPr>
        <w:t>goals</w:t>
      </w:r>
      <w:proofErr w:type="spellEnd"/>
      <w:r w:rsidRPr="008141F4">
        <w:rPr>
          <w:rFonts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Pr="008141F4">
        <w:rPr>
          <w:rFonts w:cs="Arial"/>
          <w:b/>
          <w:color w:val="000000" w:themeColor="text1"/>
          <w:sz w:val="32"/>
          <w:szCs w:val="32"/>
        </w:rPr>
        <w:t>and</w:t>
      </w:r>
      <w:proofErr w:type="spellEnd"/>
      <w:r w:rsidRPr="008141F4">
        <w:rPr>
          <w:rFonts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Pr="008141F4">
        <w:rPr>
          <w:rFonts w:cs="Arial"/>
          <w:b/>
          <w:color w:val="000000" w:themeColor="text1"/>
          <w:sz w:val="32"/>
          <w:szCs w:val="32"/>
        </w:rPr>
        <w:t>outcomes</w:t>
      </w:r>
      <w:proofErr w:type="spellEnd"/>
    </w:p>
    <w:p w:rsidR="008141F4" w:rsidRPr="008141F4" w:rsidRDefault="008141F4" w:rsidP="00DB344C">
      <w:pPr>
        <w:jc w:val="both"/>
        <w:rPr>
          <w:rFonts w:cs="Arial"/>
          <w:b/>
          <w:color w:val="404040"/>
          <w:sz w:val="28"/>
          <w:szCs w:val="28"/>
        </w:rPr>
      </w:pPr>
    </w:p>
    <w:tbl>
      <w:tblPr>
        <w:tblW w:w="8993" w:type="dxa"/>
        <w:jc w:val="center"/>
        <w:tblBorders>
          <w:top w:val="single" w:sz="4" w:space="0" w:color="215868"/>
          <w:left w:val="single" w:sz="4" w:space="0" w:color="215868"/>
          <w:bottom w:val="single" w:sz="4" w:space="0" w:color="215868"/>
          <w:right w:val="single" w:sz="4" w:space="0" w:color="215868"/>
          <w:insideH w:val="single" w:sz="4" w:space="0" w:color="215868"/>
          <w:insideV w:val="single" w:sz="4" w:space="0" w:color="215868"/>
        </w:tblBorders>
        <w:tblLayout w:type="fixed"/>
        <w:tblLook w:val="04A0" w:firstRow="1" w:lastRow="0" w:firstColumn="1" w:lastColumn="0" w:noHBand="0" w:noVBand="1"/>
      </w:tblPr>
      <w:tblGrid>
        <w:gridCol w:w="4803"/>
        <w:gridCol w:w="4190"/>
      </w:tblGrid>
      <w:tr w:rsidR="008141F4" w:rsidRPr="008141F4" w:rsidTr="006F3E14">
        <w:trPr>
          <w:jc w:val="center"/>
        </w:trPr>
        <w:tc>
          <w:tcPr>
            <w:tcW w:w="4803" w:type="dxa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8141F4" w:rsidRPr="008141F4" w:rsidRDefault="008141F4" w:rsidP="00DB344C">
            <w:pPr>
              <w:pStyle w:val="Heading5"/>
              <w:spacing w:before="40" w:after="40" w:line="240" w:lineRule="auto"/>
              <w:jc w:val="both"/>
              <w:rPr>
                <w:rFonts w:ascii="Book Antiqua" w:hAnsi="Book Antiqua" w:cs="Arial"/>
                <w:i w:val="0"/>
                <w:color w:val="000000" w:themeColor="text1"/>
                <w:sz w:val="20"/>
                <w:szCs w:val="20"/>
                <w:lang w:val="en-GB" w:eastAsia="sl-SI"/>
              </w:rPr>
            </w:pPr>
            <w:r w:rsidRPr="008141F4">
              <w:rPr>
                <w:rFonts w:ascii="Book Antiqua" w:hAnsi="Book Antiqua" w:cs="Arial"/>
                <w:i w:val="0"/>
                <w:color w:val="000000" w:themeColor="text1"/>
                <w:sz w:val="24"/>
                <w:szCs w:val="24"/>
                <w:lang w:val="en-GB" w:eastAsia="sl-SI"/>
              </w:rPr>
              <w:t>Number of participants at the event</w:t>
            </w:r>
          </w:p>
        </w:tc>
        <w:tc>
          <w:tcPr>
            <w:tcW w:w="4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41F4" w:rsidRPr="008141F4" w:rsidRDefault="00BF07F4" w:rsidP="00DB344C">
            <w:pPr>
              <w:pStyle w:val="Heading5"/>
              <w:spacing w:before="40" w:after="40" w:line="240" w:lineRule="auto"/>
              <w:jc w:val="both"/>
              <w:rPr>
                <w:rFonts w:ascii="Book Antiqua" w:hAnsi="Book Antiqua" w:cs="Arial"/>
                <w:b w:val="0"/>
                <w:i w:val="0"/>
                <w:color w:val="000000" w:themeColor="text1"/>
                <w:sz w:val="22"/>
                <w:szCs w:val="22"/>
                <w:lang w:val="en-GB" w:eastAsia="sl-SI"/>
              </w:rPr>
            </w:pPr>
            <w:r>
              <w:rPr>
                <w:rFonts w:ascii="Book Antiqua" w:hAnsi="Book Antiqua" w:cs="Arial"/>
                <w:b w:val="0"/>
                <w:i w:val="0"/>
                <w:color w:val="000000" w:themeColor="text1"/>
                <w:sz w:val="22"/>
                <w:szCs w:val="22"/>
                <w:lang w:val="en-GB" w:eastAsia="sl-SI"/>
              </w:rPr>
              <w:t>170</w:t>
            </w:r>
          </w:p>
        </w:tc>
      </w:tr>
      <w:tr w:rsidR="008141F4" w:rsidRPr="008141F4" w:rsidTr="006F3E14">
        <w:trPr>
          <w:jc w:val="center"/>
        </w:trPr>
        <w:tc>
          <w:tcPr>
            <w:tcW w:w="4803" w:type="dxa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8141F4" w:rsidRPr="008141F4" w:rsidRDefault="008141F4" w:rsidP="00DB344C">
            <w:pPr>
              <w:pStyle w:val="Heading5"/>
              <w:spacing w:before="40" w:after="40" w:line="240" w:lineRule="auto"/>
              <w:jc w:val="both"/>
              <w:rPr>
                <w:rFonts w:ascii="Book Antiqua" w:hAnsi="Book Antiqua" w:cs="Arial"/>
                <w:i w:val="0"/>
                <w:color w:val="000000" w:themeColor="text1"/>
                <w:sz w:val="20"/>
                <w:szCs w:val="20"/>
                <w:lang w:val="en-GB" w:eastAsia="sl-SI"/>
              </w:rPr>
            </w:pPr>
            <w:r w:rsidRPr="008141F4">
              <w:rPr>
                <w:rFonts w:ascii="Book Antiqua" w:hAnsi="Book Antiqua" w:cs="Arial"/>
                <w:i w:val="0"/>
                <w:color w:val="000000" w:themeColor="text1"/>
                <w:sz w:val="20"/>
                <w:szCs w:val="20"/>
                <w:lang w:val="en-GB" w:eastAsia="sl-SI"/>
              </w:rPr>
              <w:t xml:space="preserve">Participants (organisations) </w:t>
            </w:r>
          </w:p>
        </w:tc>
        <w:tc>
          <w:tcPr>
            <w:tcW w:w="4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41F4" w:rsidRPr="008141F4" w:rsidRDefault="00E37B6C" w:rsidP="00DB344C">
            <w:pPr>
              <w:pStyle w:val="Heading5"/>
              <w:spacing w:before="40" w:after="40" w:line="240" w:lineRule="auto"/>
              <w:jc w:val="both"/>
              <w:rPr>
                <w:rFonts w:ascii="Book Antiqua" w:hAnsi="Book Antiqua" w:cs="Arial"/>
                <w:b w:val="0"/>
                <w:i w:val="0"/>
                <w:color w:val="000000" w:themeColor="text1"/>
                <w:sz w:val="22"/>
                <w:szCs w:val="22"/>
                <w:lang w:val="en-GB" w:eastAsia="sl-SI"/>
              </w:rPr>
            </w:pPr>
            <w:r>
              <w:rPr>
                <w:rFonts w:ascii="Book Antiqua" w:hAnsi="Book Antiqua" w:cs="Arial"/>
                <w:b w:val="0"/>
                <w:i w:val="0"/>
                <w:color w:val="000000" w:themeColor="text1"/>
                <w:sz w:val="22"/>
                <w:szCs w:val="22"/>
                <w:lang w:val="en-GB" w:eastAsia="sl-SI"/>
              </w:rPr>
              <w:t xml:space="preserve">PHCC </w:t>
            </w:r>
            <w:proofErr w:type="spellStart"/>
            <w:r>
              <w:rPr>
                <w:rFonts w:ascii="Book Antiqua" w:hAnsi="Book Antiqua" w:cs="Arial"/>
                <w:b w:val="0"/>
                <w:i w:val="0"/>
                <w:color w:val="000000" w:themeColor="text1"/>
                <w:sz w:val="22"/>
                <w:szCs w:val="22"/>
                <w:lang w:val="en-GB" w:eastAsia="sl-SI"/>
              </w:rPr>
              <w:t>Indjija</w:t>
            </w:r>
            <w:proofErr w:type="spellEnd"/>
            <w:r>
              <w:rPr>
                <w:rFonts w:ascii="Book Antiqua" w:hAnsi="Book Antiqua" w:cs="Arial"/>
                <w:b w:val="0"/>
                <w:i w:val="0"/>
                <w:color w:val="000000" w:themeColor="text1"/>
                <w:sz w:val="22"/>
                <w:szCs w:val="22"/>
                <w:lang w:val="en-GB" w:eastAsia="sl-SI"/>
              </w:rPr>
              <w:t xml:space="preserve">, PHCC </w:t>
            </w:r>
            <w:proofErr w:type="spellStart"/>
            <w:r>
              <w:rPr>
                <w:rFonts w:ascii="Book Antiqua" w:hAnsi="Book Antiqua" w:cs="Arial"/>
                <w:b w:val="0"/>
                <w:i w:val="0"/>
                <w:color w:val="000000" w:themeColor="text1"/>
                <w:sz w:val="22"/>
                <w:szCs w:val="22"/>
                <w:lang w:val="en-GB" w:eastAsia="sl-SI"/>
              </w:rPr>
              <w:t>Stara</w:t>
            </w:r>
            <w:proofErr w:type="spellEnd"/>
            <w:r>
              <w:rPr>
                <w:rFonts w:ascii="Book Antiqua" w:hAnsi="Book Antiqua" w:cs="Arial"/>
                <w:b w:val="0"/>
                <w:i w:val="0"/>
                <w:color w:val="000000" w:themeColor="text1"/>
                <w:sz w:val="22"/>
                <w:szCs w:val="22"/>
                <w:lang w:val="en-GB" w:eastAsia="sl-SI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b w:val="0"/>
                <w:i w:val="0"/>
                <w:color w:val="000000" w:themeColor="text1"/>
                <w:sz w:val="22"/>
                <w:szCs w:val="22"/>
                <w:lang w:val="en-GB" w:eastAsia="sl-SI"/>
              </w:rPr>
              <w:t>Pazova</w:t>
            </w:r>
            <w:proofErr w:type="spellEnd"/>
            <w:r>
              <w:rPr>
                <w:rFonts w:ascii="Book Antiqua" w:hAnsi="Book Antiqua" w:cs="Arial"/>
                <w:b w:val="0"/>
                <w:i w:val="0"/>
                <w:color w:val="000000" w:themeColor="text1"/>
                <w:sz w:val="22"/>
                <w:szCs w:val="22"/>
                <w:lang w:val="en-GB" w:eastAsia="sl-SI"/>
              </w:rPr>
              <w:t xml:space="preserve">, </w:t>
            </w:r>
          </w:p>
        </w:tc>
      </w:tr>
      <w:tr w:rsidR="008141F4" w:rsidRPr="008141F4" w:rsidTr="006F3E14">
        <w:trPr>
          <w:jc w:val="center"/>
        </w:trPr>
        <w:tc>
          <w:tcPr>
            <w:tcW w:w="8993" w:type="dxa"/>
            <w:gridSpan w:val="2"/>
            <w:shd w:val="clear" w:color="auto" w:fill="F2DBDB" w:themeFill="accent2" w:themeFillTint="33"/>
            <w:vAlign w:val="center"/>
          </w:tcPr>
          <w:p w:rsidR="008141F4" w:rsidRPr="008141F4" w:rsidRDefault="008141F4" w:rsidP="00DB344C">
            <w:pPr>
              <w:pStyle w:val="Heading5"/>
              <w:spacing w:before="40" w:after="40" w:line="240" w:lineRule="auto"/>
              <w:jc w:val="both"/>
              <w:rPr>
                <w:rFonts w:ascii="Book Antiqua" w:hAnsi="Book Antiqua" w:cs="Arial"/>
                <w:i w:val="0"/>
                <w:color w:val="000000" w:themeColor="text1"/>
                <w:sz w:val="20"/>
                <w:szCs w:val="20"/>
                <w:lang w:val="en-GB" w:eastAsia="sl-SI"/>
              </w:rPr>
            </w:pPr>
            <w:r w:rsidRPr="008141F4">
              <w:rPr>
                <w:rFonts w:ascii="Book Antiqua" w:hAnsi="Book Antiqua" w:cs="Arial"/>
                <w:i w:val="0"/>
                <w:color w:val="000000" w:themeColor="text1"/>
                <w:sz w:val="20"/>
                <w:szCs w:val="20"/>
                <w:lang w:val="en-GB" w:eastAsia="sl-SI"/>
              </w:rPr>
              <w:t xml:space="preserve">Event description: </w:t>
            </w:r>
          </w:p>
        </w:tc>
      </w:tr>
      <w:tr w:rsidR="008141F4" w:rsidRPr="00E55B7D" w:rsidTr="008141F4">
        <w:trPr>
          <w:trHeight w:val="11350"/>
          <w:jc w:val="center"/>
        </w:trPr>
        <w:tc>
          <w:tcPr>
            <w:tcW w:w="8993" w:type="dxa"/>
            <w:gridSpan w:val="2"/>
            <w:shd w:val="clear" w:color="auto" w:fill="auto"/>
            <w:vAlign w:val="center"/>
          </w:tcPr>
          <w:p w:rsidR="007D6990" w:rsidRDefault="007D6990" w:rsidP="00DB344C">
            <w:pPr>
              <w:pStyle w:val="Heading5"/>
              <w:spacing w:before="40" w:after="40" w:line="240" w:lineRule="auto"/>
              <w:jc w:val="both"/>
              <w:rPr>
                <w:rFonts w:ascii="Arial" w:hAnsi="Arial" w:cs="Arial"/>
                <w:b w:val="0"/>
                <w:i w:val="0"/>
                <w:color w:val="404040"/>
                <w:sz w:val="22"/>
                <w:szCs w:val="22"/>
                <w:lang w:val="en-GB" w:eastAsia="sl-SI"/>
              </w:rPr>
            </w:pPr>
          </w:p>
          <w:p w:rsidR="00E666CF" w:rsidRDefault="00E666CF" w:rsidP="00DB344C">
            <w:pPr>
              <w:spacing w:before="40" w:after="40" w:line="360" w:lineRule="auto"/>
              <w:jc w:val="both"/>
              <w:rPr>
                <w:rFonts w:ascii="Helvetica" w:hAnsi="Helvetica"/>
                <w:shd w:val="clear" w:color="auto" w:fill="FFFFFF"/>
              </w:rPr>
            </w:pPr>
            <w:proofErr w:type="spellStart"/>
            <w:r w:rsidRPr="00E666CF">
              <w:rPr>
                <w:rFonts w:ascii="Helvetica" w:hAnsi="Helvetica"/>
                <w:shd w:val="clear" w:color="auto" w:fill="FFFFFF"/>
              </w:rPr>
              <w:t>The</w:t>
            </w:r>
            <w:proofErr w:type="spellEnd"/>
            <w:r w:rsidRPr="00E666CF">
              <w:rPr>
                <w:rFonts w:ascii="Helvetica" w:hAnsi="Helvetica"/>
                <w:shd w:val="clear" w:color="auto" w:fill="FFFFFF"/>
              </w:rPr>
              <w:t xml:space="preserve"> </w:t>
            </w:r>
            <w:proofErr w:type="spellStart"/>
            <w:r w:rsidRPr="00E666CF">
              <w:rPr>
                <w:rFonts w:ascii="Helvetica" w:hAnsi="Helvetica"/>
                <w:shd w:val="clear" w:color="auto" w:fill="FFFFFF"/>
              </w:rPr>
              <w:t>main</w:t>
            </w:r>
            <w:proofErr w:type="spellEnd"/>
            <w:r w:rsidRPr="00E666CF">
              <w:rPr>
                <w:rFonts w:ascii="Helvetica" w:hAnsi="Helvetica"/>
                <w:shd w:val="clear" w:color="auto" w:fill="FFFFFF"/>
              </w:rPr>
              <w:t xml:space="preserve"> </w:t>
            </w:r>
            <w:proofErr w:type="spellStart"/>
            <w:r w:rsidRPr="00E666CF">
              <w:rPr>
                <w:rFonts w:ascii="Helvetica" w:hAnsi="Helvetica"/>
                <w:shd w:val="clear" w:color="auto" w:fill="FFFFFF"/>
              </w:rPr>
              <w:t>objective</w:t>
            </w:r>
            <w:proofErr w:type="spellEnd"/>
            <w:r w:rsidRPr="00E666CF">
              <w:rPr>
                <w:rFonts w:ascii="Helvetica" w:hAnsi="Helvetica"/>
                <w:shd w:val="clear" w:color="auto" w:fill="FFFFFF"/>
              </w:rPr>
              <w:t xml:space="preserve"> </w:t>
            </w:r>
            <w:proofErr w:type="spellStart"/>
            <w:r w:rsidRPr="00E666CF">
              <w:rPr>
                <w:rFonts w:ascii="Helvetica" w:hAnsi="Helvetica"/>
                <w:shd w:val="clear" w:color="auto" w:fill="FFFFFF"/>
              </w:rPr>
              <w:t>was</w:t>
            </w:r>
            <w:proofErr w:type="spellEnd"/>
            <w:r w:rsidRPr="00E666CF">
              <w:rPr>
                <w:rFonts w:ascii="Helvetica" w:hAnsi="Helvetica"/>
                <w:shd w:val="clear" w:color="auto" w:fill="FFFFFF"/>
              </w:rPr>
              <w:t xml:space="preserve"> to </w:t>
            </w:r>
            <w:proofErr w:type="spellStart"/>
            <w:r w:rsidR="00596316">
              <w:rPr>
                <w:rFonts w:ascii="Helvetica" w:hAnsi="Helvetica"/>
                <w:shd w:val="clear" w:color="auto" w:fill="FFFFFF"/>
              </w:rPr>
              <w:t>develop</w:t>
            </w:r>
            <w:proofErr w:type="spellEnd"/>
            <w:r w:rsidR="00596316">
              <w:rPr>
                <w:rFonts w:ascii="Helvetica" w:hAnsi="Helvetica"/>
                <w:shd w:val="clear" w:color="auto" w:fill="FFFFFF"/>
              </w:rPr>
              <w:t xml:space="preserve"> LLL </w:t>
            </w:r>
            <w:proofErr w:type="spellStart"/>
            <w:r w:rsidR="00596316">
              <w:rPr>
                <w:rFonts w:ascii="Helvetica" w:hAnsi="Helvetica"/>
                <w:shd w:val="clear" w:color="auto" w:fill="FFFFFF"/>
              </w:rPr>
              <w:t>course</w:t>
            </w:r>
            <w:proofErr w:type="spellEnd"/>
            <w:r w:rsidR="00596316">
              <w:rPr>
                <w:rFonts w:ascii="Helvetica" w:hAnsi="Helvetica"/>
                <w:shd w:val="clear" w:color="auto" w:fill="FFFFFF"/>
              </w:rPr>
              <w:t xml:space="preserve"> </w:t>
            </w:r>
            <w:proofErr w:type="spellStart"/>
            <w:r w:rsidR="00596316">
              <w:rPr>
                <w:rFonts w:ascii="Helvetica" w:hAnsi="Helvetica"/>
                <w:shd w:val="clear" w:color="auto" w:fill="FFFFFF"/>
              </w:rPr>
              <w:t>about</w:t>
            </w:r>
            <w:proofErr w:type="spellEnd"/>
            <w:r w:rsidR="00596316">
              <w:rPr>
                <w:rFonts w:ascii="Helvetica" w:hAnsi="Helvetica"/>
                <w:shd w:val="clear" w:color="auto" w:fill="FFFFFF"/>
              </w:rPr>
              <w:t xml:space="preserve"> </w:t>
            </w:r>
            <w:proofErr w:type="spellStart"/>
            <w:r w:rsidR="00596316">
              <w:rPr>
                <w:rFonts w:ascii="Helvetica" w:hAnsi="Helvetica"/>
                <w:shd w:val="clear" w:color="auto" w:fill="FFFFFF"/>
              </w:rPr>
              <w:t>cancer</w:t>
            </w:r>
            <w:proofErr w:type="spellEnd"/>
            <w:r w:rsidRPr="00E666CF">
              <w:rPr>
                <w:rFonts w:ascii="Helvetica" w:hAnsi="Helvetica"/>
                <w:shd w:val="clear" w:color="auto" w:fill="FFFFFF"/>
              </w:rPr>
              <w:t xml:space="preserve"> </w:t>
            </w:r>
            <w:proofErr w:type="spellStart"/>
            <w:r w:rsidRPr="00E666CF">
              <w:rPr>
                <w:rFonts w:ascii="Helvetica" w:hAnsi="Helvetica"/>
                <w:shd w:val="clear" w:color="auto" w:fill="FFFFFF"/>
              </w:rPr>
              <w:t>pain</w:t>
            </w:r>
            <w:proofErr w:type="spellEnd"/>
            <w:r w:rsidRPr="00E666CF">
              <w:rPr>
                <w:rFonts w:ascii="Helvetica" w:hAnsi="Helvetica"/>
                <w:shd w:val="clear" w:color="auto" w:fill="FFFFFF"/>
              </w:rPr>
              <w:t xml:space="preserve"> management </w:t>
            </w:r>
            <w:proofErr w:type="spellStart"/>
            <w:r w:rsidRPr="00E666CF">
              <w:rPr>
                <w:rFonts w:ascii="Helvetica" w:hAnsi="Helvetica"/>
                <w:shd w:val="clear" w:color="auto" w:fill="FFFFFF"/>
              </w:rPr>
              <w:t>and</w:t>
            </w:r>
            <w:proofErr w:type="spellEnd"/>
            <w:r w:rsidRPr="00E666CF">
              <w:rPr>
                <w:rFonts w:ascii="Helvetica" w:hAnsi="Helvetica"/>
                <w:shd w:val="clear" w:color="auto" w:fill="FFFFFF"/>
              </w:rPr>
              <w:t xml:space="preserve"> </w:t>
            </w:r>
            <w:proofErr w:type="spellStart"/>
            <w:r w:rsidRPr="00E666CF">
              <w:rPr>
                <w:rFonts w:ascii="Helvetica" w:hAnsi="Helvetica"/>
                <w:shd w:val="clear" w:color="auto" w:fill="FFFFFF"/>
              </w:rPr>
              <w:t>deliver</w:t>
            </w:r>
            <w:proofErr w:type="spellEnd"/>
            <w:r w:rsidRPr="00E666CF">
              <w:rPr>
                <w:rFonts w:ascii="Helvetica" w:hAnsi="Helvetica"/>
                <w:shd w:val="clear" w:color="auto" w:fill="FFFFFF"/>
              </w:rPr>
              <w:t xml:space="preserve"> </w:t>
            </w:r>
            <w:proofErr w:type="spellStart"/>
            <w:r w:rsidRPr="00E666CF">
              <w:rPr>
                <w:rFonts w:ascii="Helvetica" w:hAnsi="Helvetica"/>
                <w:shd w:val="clear" w:color="auto" w:fill="FFFFFF"/>
              </w:rPr>
              <w:t>it</w:t>
            </w:r>
            <w:proofErr w:type="spellEnd"/>
            <w:r w:rsidRPr="00E666CF">
              <w:rPr>
                <w:rFonts w:ascii="Helvetica" w:hAnsi="Helvetica"/>
                <w:shd w:val="clear" w:color="auto" w:fill="FFFFFF"/>
              </w:rPr>
              <w:t xml:space="preserve"> to </w:t>
            </w:r>
            <w:proofErr w:type="spellStart"/>
            <w:r w:rsidRPr="00E666CF">
              <w:rPr>
                <w:rFonts w:ascii="Helvetica" w:hAnsi="Helvetica"/>
                <w:shd w:val="clear" w:color="auto" w:fill="FFFFFF"/>
              </w:rPr>
              <w:t>health</w:t>
            </w:r>
            <w:proofErr w:type="spellEnd"/>
            <w:r w:rsidRPr="00E666CF">
              <w:rPr>
                <w:rFonts w:ascii="Helvetica" w:hAnsi="Helvetica"/>
                <w:shd w:val="clear" w:color="auto" w:fill="FFFFFF"/>
              </w:rPr>
              <w:t xml:space="preserve"> care </w:t>
            </w:r>
            <w:proofErr w:type="spellStart"/>
            <w:r w:rsidRPr="00E666CF">
              <w:rPr>
                <w:rFonts w:ascii="Helvetica" w:hAnsi="Helvetica"/>
                <w:shd w:val="clear" w:color="auto" w:fill="FFFFFF"/>
              </w:rPr>
              <w:t>professionals</w:t>
            </w:r>
            <w:proofErr w:type="spellEnd"/>
            <w:r w:rsidRPr="00E666CF">
              <w:rPr>
                <w:rFonts w:ascii="Helvetica" w:hAnsi="Helvetica"/>
                <w:shd w:val="clear" w:color="auto" w:fill="FFFFFF"/>
              </w:rPr>
              <w:t xml:space="preserve"> in </w:t>
            </w:r>
            <w:proofErr w:type="spellStart"/>
            <w:r w:rsidRPr="00E666CF">
              <w:rPr>
                <w:rFonts w:ascii="Helvetica" w:hAnsi="Helvetica"/>
                <w:shd w:val="clear" w:color="auto" w:fill="FFFFFF"/>
              </w:rPr>
              <w:t>Primary</w:t>
            </w:r>
            <w:proofErr w:type="spellEnd"/>
            <w:r w:rsidRPr="00E666CF">
              <w:rPr>
                <w:rFonts w:ascii="Helvetica" w:hAnsi="Helvetica"/>
                <w:shd w:val="clear" w:color="auto" w:fill="FFFFFF"/>
              </w:rPr>
              <w:t xml:space="preserve"> </w:t>
            </w:r>
            <w:proofErr w:type="spellStart"/>
            <w:r w:rsidRPr="00E666CF">
              <w:rPr>
                <w:rFonts w:ascii="Helvetica" w:hAnsi="Helvetica"/>
                <w:shd w:val="clear" w:color="auto" w:fill="FFFFFF"/>
              </w:rPr>
              <w:t>health</w:t>
            </w:r>
            <w:proofErr w:type="spellEnd"/>
            <w:r w:rsidRPr="00E666CF">
              <w:rPr>
                <w:rFonts w:ascii="Helvetica" w:hAnsi="Helvetica"/>
                <w:shd w:val="clear" w:color="auto" w:fill="FFFFFF"/>
              </w:rPr>
              <w:t xml:space="preserve"> care centre in </w:t>
            </w:r>
            <w:proofErr w:type="spellStart"/>
            <w:r w:rsidRPr="00E666CF">
              <w:rPr>
                <w:rFonts w:ascii="Helvetica" w:hAnsi="Helvetica"/>
                <w:shd w:val="clear" w:color="auto" w:fill="FFFFFF"/>
              </w:rPr>
              <w:t>Indjija</w:t>
            </w:r>
            <w:proofErr w:type="spellEnd"/>
            <w:r w:rsidRPr="00E666CF">
              <w:rPr>
                <w:rFonts w:ascii="Helvetica" w:hAnsi="Helvetica"/>
                <w:shd w:val="clear" w:color="auto" w:fill="FFFFFF"/>
              </w:rPr>
              <w:t xml:space="preserve">. </w:t>
            </w:r>
            <w:proofErr w:type="spellStart"/>
            <w:r w:rsidRPr="00E666CF">
              <w:rPr>
                <w:rFonts w:ascii="Helvetica" w:hAnsi="Helvetica"/>
                <w:shd w:val="clear" w:color="auto" w:fill="FFFFFF"/>
              </w:rPr>
              <w:t>After</w:t>
            </w:r>
            <w:proofErr w:type="spellEnd"/>
            <w:r w:rsidRPr="00E666CF">
              <w:rPr>
                <w:rFonts w:ascii="Helvetica" w:hAnsi="Helvetica"/>
                <w:shd w:val="clear" w:color="auto" w:fill="FFFFFF"/>
              </w:rPr>
              <w:t xml:space="preserve"> </w:t>
            </w:r>
            <w:proofErr w:type="spellStart"/>
            <w:r w:rsidRPr="00E666CF">
              <w:rPr>
                <w:rFonts w:ascii="Helvetica" w:hAnsi="Helvetica"/>
                <w:shd w:val="clear" w:color="auto" w:fill="FFFFFF"/>
              </w:rPr>
              <w:t>the</w:t>
            </w:r>
            <w:proofErr w:type="spellEnd"/>
            <w:r w:rsidRPr="00E666CF">
              <w:rPr>
                <w:rFonts w:ascii="Helvetica" w:hAnsi="Helvetica"/>
                <w:shd w:val="clear" w:color="auto" w:fill="FFFFFF"/>
              </w:rPr>
              <w:t xml:space="preserve"> </w:t>
            </w:r>
            <w:proofErr w:type="spellStart"/>
            <w:r w:rsidRPr="00E666CF">
              <w:rPr>
                <w:rFonts w:ascii="Helvetica" w:hAnsi="Helvetica"/>
                <w:shd w:val="clear" w:color="auto" w:fill="FFFFFF"/>
              </w:rPr>
              <w:t>development</w:t>
            </w:r>
            <w:proofErr w:type="spellEnd"/>
            <w:r w:rsidRPr="00E666CF">
              <w:rPr>
                <w:rFonts w:ascii="Helvetica" w:hAnsi="Helvetica"/>
                <w:shd w:val="clear" w:color="auto" w:fill="FFFFFF"/>
              </w:rPr>
              <w:t xml:space="preserve"> </w:t>
            </w:r>
            <w:proofErr w:type="spellStart"/>
            <w:r w:rsidRPr="00E666CF">
              <w:rPr>
                <w:rFonts w:ascii="Helvetica" w:hAnsi="Helvetica"/>
                <w:shd w:val="clear" w:color="auto" w:fill="FFFFFF"/>
              </w:rPr>
              <w:t>of</w:t>
            </w:r>
            <w:proofErr w:type="spellEnd"/>
            <w:r w:rsidRPr="00E666CF">
              <w:rPr>
                <w:rFonts w:ascii="Helvetica" w:hAnsi="Helvetica"/>
                <w:shd w:val="clear" w:color="auto" w:fill="FFFFFF"/>
              </w:rPr>
              <w:t xml:space="preserve"> </w:t>
            </w:r>
            <w:proofErr w:type="spellStart"/>
            <w:r w:rsidRPr="00E666CF">
              <w:rPr>
                <w:rFonts w:ascii="Helvetica" w:hAnsi="Helvetica"/>
                <w:shd w:val="clear" w:color="auto" w:fill="FFFFFF"/>
              </w:rPr>
              <w:t>the</w:t>
            </w:r>
            <w:proofErr w:type="spellEnd"/>
            <w:r w:rsidRPr="00E666CF">
              <w:rPr>
                <w:rFonts w:ascii="Helvetica" w:hAnsi="Helvetica"/>
                <w:shd w:val="clear" w:color="auto" w:fill="FFFFFF"/>
              </w:rPr>
              <w:t xml:space="preserve"> </w:t>
            </w:r>
            <w:proofErr w:type="spellStart"/>
            <w:r w:rsidRPr="00E666CF">
              <w:rPr>
                <w:rFonts w:ascii="Helvetica" w:hAnsi="Helvetica"/>
                <w:shd w:val="clear" w:color="auto" w:fill="FFFFFF"/>
              </w:rPr>
              <w:t>training</w:t>
            </w:r>
            <w:proofErr w:type="spellEnd"/>
            <w:r w:rsidRPr="00E666CF">
              <w:rPr>
                <w:rFonts w:ascii="Helvetica" w:hAnsi="Helvetica"/>
                <w:shd w:val="clear" w:color="auto" w:fill="FFFFFF"/>
              </w:rPr>
              <w:t xml:space="preserve"> </w:t>
            </w:r>
            <w:proofErr w:type="spellStart"/>
            <w:r w:rsidRPr="00E666CF">
              <w:rPr>
                <w:rFonts w:ascii="Helvetica" w:hAnsi="Helvetica"/>
                <w:shd w:val="clear" w:color="auto" w:fill="FFFFFF"/>
              </w:rPr>
              <w:t>material</w:t>
            </w:r>
            <w:proofErr w:type="spellEnd"/>
            <w:r w:rsidRPr="00E666CF">
              <w:rPr>
                <w:rFonts w:ascii="Helvetica" w:hAnsi="Helvetica"/>
                <w:shd w:val="clear" w:color="auto" w:fill="FFFFFF"/>
              </w:rPr>
              <w:t xml:space="preserve">, </w:t>
            </w:r>
            <w:proofErr w:type="spellStart"/>
            <w:r w:rsidRPr="00E666CF">
              <w:rPr>
                <w:rFonts w:ascii="Helvetica" w:hAnsi="Helvetica"/>
                <w:shd w:val="clear" w:color="auto" w:fill="FFFFFF"/>
              </w:rPr>
              <w:t>selection</w:t>
            </w:r>
            <w:proofErr w:type="spellEnd"/>
            <w:r w:rsidRPr="00E666CF">
              <w:rPr>
                <w:rFonts w:ascii="Helvetica" w:hAnsi="Helvetica"/>
                <w:shd w:val="clear" w:color="auto" w:fill="FFFFFF"/>
              </w:rPr>
              <w:t xml:space="preserve"> </w:t>
            </w:r>
            <w:proofErr w:type="spellStart"/>
            <w:r w:rsidRPr="00E666CF">
              <w:rPr>
                <w:rFonts w:ascii="Helvetica" w:hAnsi="Helvetica"/>
                <w:shd w:val="clear" w:color="auto" w:fill="FFFFFF"/>
              </w:rPr>
              <w:t>of</w:t>
            </w:r>
            <w:proofErr w:type="spellEnd"/>
            <w:r w:rsidRPr="00E666CF">
              <w:rPr>
                <w:rFonts w:ascii="Helvetica" w:hAnsi="Helvetica"/>
                <w:shd w:val="clear" w:color="auto" w:fill="FFFFFF"/>
              </w:rPr>
              <w:t xml:space="preserve"> </w:t>
            </w:r>
            <w:proofErr w:type="spellStart"/>
            <w:r w:rsidRPr="00E666CF">
              <w:rPr>
                <w:rFonts w:ascii="Helvetica" w:hAnsi="Helvetica"/>
                <w:shd w:val="clear" w:color="auto" w:fill="FFFFFF"/>
              </w:rPr>
              <w:t>trainees</w:t>
            </w:r>
            <w:proofErr w:type="spellEnd"/>
            <w:r w:rsidRPr="00E666CF">
              <w:rPr>
                <w:rFonts w:ascii="Helvetica" w:hAnsi="Helvetica"/>
                <w:shd w:val="clear" w:color="auto" w:fill="FFFFFF"/>
              </w:rPr>
              <w:t xml:space="preserve">,  </w:t>
            </w:r>
            <w:proofErr w:type="spellStart"/>
            <w:r w:rsidRPr="00E666CF">
              <w:rPr>
                <w:rFonts w:ascii="Helvetica" w:hAnsi="Helvetica"/>
                <w:shd w:val="clear" w:color="auto" w:fill="FFFFFF"/>
              </w:rPr>
              <w:t>and</w:t>
            </w:r>
            <w:proofErr w:type="spellEnd"/>
            <w:r w:rsidRPr="00E666CF">
              <w:rPr>
                <w:rFonts w:ascii="Helvetica" w:hAnsi="Helvetica"/>
                <w:shd w:val="clear" w:color="auto" w:fill="FFFFFF"/>
              </w:rPr>
              <w:t xml:space="preserve"> </w:t>
            </w:r>
            <w:proofErr w:type="spellStart"/>
            <w:r w:rsidRPr="00E666CF">
              <w:rPr>
                <w:rFonts w:ascii="Helvetica" w:hAnsi="Helvetica"/>
                <w:shd w:val="clear" w:color="auto" w:fill="FFFFFF"/>
              </w:rPr>
              <w:t>accreditation</w:t>
            </w:r>
            <w:proofErr w:type="spellEnd"/>
            <w:r w:rsidRPr="00E666CF">
              <w:rPr>
                <w:rFonts w:ascii="Helvetica" w:hAnsi="Helvetica"/>
                <w:shd w:val="clear" w:color="auto" w:fill="FFFFFF"/>
              </w:rPr>
              <w:t xml:space="preserve"> </w:t>
            </w:r>
            <w:proofErr w:type="spellStart"/>
            <w:r w:rsidRPr="00E666CF">
              <w:rPr>
                <w:rFonts w:ascii="Helvetica" w:hAnsi="Helvetica"/>
                <w:shd w:val="clear" w:color="auto" w:fill="FFFFFF"/>
              </w:rPr>
              <w:t>of</w:t>
            </w:r>
            <w:proofErr w:type="spellEnd"/>
            <w:r w:rsidRPr="00E666CF">
              <w:rPr>
                <w:rFonts w:ascii="Helvetica" w:hAnsi="Helvetica"/>
                <w:shd w:val="clear" w:color="auto" w:fill="FFFFFF"/>
              </w:rPr>
              <w:t xml:space="preserve"> </w:t>
            </w:r>
            <w:proofErr w:type="spellStart"/>
            <w:r w:rsidRPr="00E666CF">
              <w:rPr>
                <w:rFonts w:ascii="Helvetica" w:hAnsi="Helvetica"/>
                <w:shd w:val="clear" w:color="auto" w:fill="FFFFFF"/>
              </w:rPr>
              <w:t>the</w:t>
            </w:r>
            <w:proofErr w:type="spellEnd"/>
            <w:r w:rsidRPr="00E666CF">
              <w:rPr>
                <w:rFonts w:ascii="Helvetica" w:hAnsi="Helvetica"/>
                <w:shd w:val="clear" w:color="auto" w:fill="FFFFFF"/>
              </w:rPr>
              <w:t xml:space="preserve"> </w:t>
            </w:r>
            <w:proofErr w:type="spellStart"/>
            <w:r w:rsidRPr="00E666CF">
              <w:rPr>
                <w:rFonts w:ascii="Helvetica" w:hAnsi="Helvetica"/>
                <w:shd w:val="clear" w:color="auto" w:fill="FFFFFF"/>
              </w:rPr>
              <w:t>course</w:t>
            </w:r>
            <w:proofErr w:type="spellEnd"/>
            <w:r w:rsidRPr="00E666CF">
              <w:rPr>
                <w:rFonts w:ascii="Helvetica" w:hAnsi="Helvetica"/>
                <w:shd w:val="clear" w:color="auto" w:fill="FFFFFF"/>
              </w:rPr>
              <w:t xml:space="preserve"> </w:t>
            </w:r>
            <w:proofErr w:type="spellStart"/>
            <w:r w:rsidRPr="00E666CF">
              <w:rPr>
                <w:rFonts w:ascii="Helvetica" w:hAnsi="Helvetica"/>
                <w:shd w:val="clear" w:color="auto" w:fill="FFFFFF"/>
              </w:rPr>
              <w:t>by</w:t>
            </w:r>
            <w:proofErr w:type="spellEnd"/>
            <w:r w:rsidRPr="00E666CF">
              <w:rPr>
                <w:rFonts w:ascii="Helvetica" w:hAnsi="Helvetica"/>
                <w:shd w:val="clear" w:color="auto" w:fill="FFFFFF"/>
              </w:rPr>
              <w:t xml:space="preserve"> </w:t>
            </w:r>
            <w:proofErr w:type="spellStart"/>
            <w:r w:rsidRPr="00E666CF">
              <w:rPr>
                <w:rFonts w:ascii="Helvetica" w:hAnsi="Helvetica"/>
                <w:shd w:val="clear" w:color="auto" w:fill="FFFFFF"/>
              </w:rPr>
              <w:t>Healthcare</w:t>
            </w:r>
            <w:proofErr w:type="spellEnd"/>
            <w:r w:rsidRPr="00E666CF">
              <w:rPr>
                <w:rFonts w:ascii="Helvetica" w:hAnsi="Helvetica"/>
                <w:shd w:val="clear" w:color="auto" w:fill="FFFFFF"/>
              </w:rPr>
              <w:t xml:space="preserve"> </w:t>
            </w:r>
            <w:proofErr w:type="spellStart"/>
            <w:r w:rsidRPr="00E666CF">
              <w:rPr>
                <w:rFonts w:ascii="Helvetica" w:hAnsi="Helvetica"/>
                <w:shd w:val="clear" w:color="auto" w:fill="FFFFFF"/>
              </w:rPr>
              <w:t>Council</w:t>
            </w:r>
            <w:proofErr w:type="spellEnd"/>
            <w:r w:rsidRPr="00E666CF">
              <w:rPr>
                <w:rFonts w:ascii="Helvetica" w:hAnsi="Helvetica"/>
                <w:shd w:val="clear" w:color="auto" w:fill="FFFFFF"/>
              </w:rPr>
              <w:t xml:space="preserve"> </w:t>
            </w:r>
            <w:proofErr w:type="spellStart"/>
            <w:r w:rsidRPr="00E666CF">
              <w:rPr>
                <w:rFonts w:ascii="Helvetica" w:hAnsi="Helvetica"/>
                <w:shd w:val="clear" w:color="auto" w:fill="FFFFFF"/>
              </w:rPr>
              <w:t>of</w:t>
            </w:r>
            <w:proofErr w:type="spellEnd"/>
            <w:r w:rsidRPr="00E666CF">
              <w:rPr>
                <w:rFonts w:ascii="Helvetica" w:hAnsi="Helvetica"/>
                <w:shd w:val="clear" w:color="auto" w:fill="FFFFFF"/>
              </w:rPr>
              <w:t xml:space="preserve"> </w:t>
            </w:r>
            <w:proofErr w:type="spellStart"/>
            <w:r w:rsidRPr="00E666CF">
              <w:rPr>
                <w:rFonts w:ascii="Helvetica" w:hAnsi="Helvetica"/>
                <w:shd w:val="clear" w:color="auto" w:fill="FFFFFF"/>
              </w:rPr>
              <w:t>Serbia</w:t>
            </w:r>
            <w:proofErr w:type="spellEnd"/>
            <w:r w:rsidRPr="00E666CF">
              <w:rPr>
                <w:rFonts w:ascii="Helvetica" w:hAnsi="Helvetica"/>
                <w:shd w:val="clear" w:color="auto" w:fill="FFFFFF"/>
              </w:rPr>
              <w:t xml:space="preserve">, </w:t>
            </w:r>
            <w:proofErr w:type="spellStart"/>
            <w:r w:rsidRPr="00E666CF">
              <w:rPr>
                <w:rFonts w:ascii="Helvetica" w:hAnsi="Helvetica"/>
                <w:shd w:val="clear" w:color="auto" w:fill="FFFFFF"/>
              </w:rPr>
              <w:t>the</w:t>
            </w:r>
            <w:proofErr w:type="spellEnd"/>
            <w:r w:rsidRPr="00E666CF">
              <w:rPr>
                <w:rFonts w:ascii="Helvetica" w:hAnsi="Helvetica"/>
                <w:shd w:val="clear" w:color="auto" w:fill="FFFFFF"/>
              </w:rPr>
              <w:t xml:space="preserve"> </w:t>
            </w:r>
            <w:proofErr w:type="spellStart"/>
            <w:r w:rsidRPr="00E666CF">
              <w:rPr>
                <w:rFonts w:ascii="Helvetica" w:hAnsi="Helvetica"/>
                <w:shd w:val="clear" w:color="auto" w:fill="FFFFFF"/>
              </w:rPr>
              <w:t>course</w:t>
            </w:r>
            <w:proofErr w:type="spellEnd"/>
            <w:r w:rsidRPr="00E666CF">
              <w:rPr>
                <w:rFonts w:ascii="Helvetica" w:hAnsi="Helvetica"/>
                <w:shd w:val="clear" w:color="auto" w:fill="FFFFFF"/>
              </w:rPr>
              <w:t xml:space="preserve"> </w:t>
            </w:r>
            <w:proofErr w:type="spellStart"/>
            <w:r w:rsidRPr="00E666CF">
              <w:rPr>
                <w:rFonts w:ascii="Helvetica" w:hAnsi="Helvetica"/>
                <w:shd w:val="clear" w:color="auto" w:fill="FFFFFF"/>
              </w:rPr>
              <w:t>was</w:t>
            </w:r>
            <w:proofErr w:type="spellEnd"/>
            <w:r w:rsidRPr="00E666CF">
              <w:rPr>
                <w:rFonts w:ascii="Helvetica" w:hAnsi="Helvetica"/>
                <w:shd w:val="clear" w:color="auto" w:fill="FFFFFF"/>
              </w:rPr>
              <w:t xml:space="preserve"> </w:t>
            </w:r>
            <w:proofErr w:type="spellStart"/>
            <w:r w:rsidRPr="00E666CF">
              <w:rPr>
                <w:rFonts w:ascii="Helvetica" w:hAnsi="Helvetica"/>
                <w:shd w:val="clear" w:color="auto" w:fill="FFFFFF"/>
              </w:rPr>
              <w:t>held</w:t>
            </w:r>
            <w:proofErr w:type="spellEnd"/>
            <w:r w:rsidRPr="00E666CF">
              <w:rPr>
                <w:rFonts w:ascii="Helvetica" w:hAnsi="Helvetica"/>
                <w:shd w:val="clear" w:color="auto" w:fill="FFFFFF"/>
              </w:rPr>
              <w:t xml:space="preserve"> </w:t>
            </w:r>
            <w:proofErr w:type="spellStart"/>
            <w:r w:rsidRPr="00E666CF">
              <w:rPr>
                <w:rFonts w:ascii="Helvetica" w:hAnsi="Helvetica"/>
                <w:shd w:val="clear" w:color="auto" w:fill="FFFFFF"/>
              </w:rPr>
              <w:t>for</w:t>
            </w:r>
            <w:proofErr w:type="spellEnd"/>
            <w:r w:rsidRPr="00E666CF">
              <w:rPr>
                <w:rFonts w:ascii="Helvetica" w:hAnsi="Helvetica"/>
                <w:shd w:val="clear" w:color="auto" w:fill="FFFFFF"/>
              </w:rPr>
              <w:t xml:space="preserve"> </w:t>
            </w:r>
            <w:proofErr w:type="spellStart"/>
            <w:r w:rsidRPr="00E666CF">
              <w:rPr>
                <w:rFonts w:ascii="Helvetica" w:hAnsi="Helvetica"/>
                <w:shd w:val="clear" w:color="auto" w:fill="FFFFFF"/>
              </w:rPr>
              <w:t>the</w:t>
            </w:r>
            <w:proofErr w:type="spellEnd"/>
            <w:r w:rsidRPr="00E666CF">
              <w:rPr>
                <w:rFonts w:ascii="Helvetica" w:hAnsi="Helvetica"/>
                <w:shd w:val="clear" w:color="auto" w:fill="FFFFFF"/>
              </w:rPr>
              <w:t xml:space="preserve"> </w:t>
            </w:r>
            <w:proofErr w:type="spellStart"/>
            <w:r w:rsidRPr="00E666CF">
              <w:rPr>
                <w:rFonts w:ascii="Helvetica" w:hAnsi="Helvetica"/>
                <w:shd w:val="clear" w:color="auto" w:fill="FFFFFF"/>
              </w:rPr>
              <w:t>purpose</w:t>
            </w:r>
            <w:proofErr w:type="spellEnd"/>
            <w:r w:rsidRPr="00E666CF">
              <w:rPr>
                <w:rFonts w:ascii="Helvetica" w:hAnsi="Helvetica"/>
                <w:shd w:val="clear" w:color="auto" w:fill="FFFFFF"/>
              </w:rPr>
              <w:t xml:space="preserve"> to </w:t>
            </w:r>
            <w:proofErr w:type="spellStart"/>
            <w:r w:rsidRPr="00E666CF">
              <w:rPr>
                <w:rFonts w:ascii="Helvetica" w:hAnsi="Helvetica"/>
                <w:shd w:val="clear" w:color="auto" w:fill="FFFFFF"/>
              </w:rPr>
              <w:t>give</w:t>
            </w:r>
            <w:proofErr w:type="spellEnd"/>
            <w:r w:rsidRPr="00E666CF">
              <w:rPr>
                <w:rFonts w:ascii="Helvetica" w:hAnsi="Helvetica"/>
                <w:shd w:val="clear" w:color="auto" w:fill="FFFFFF"/>
              </w:rPr>
              <w:t xml:space="preserve"> </w:t>
            </w:r>
            <w:proofErr w:type="spellStart"/>
            <w:r w:rsidR="00596316">
              <w:rPr>
                <w:rFonts w:ascii="Helvetica" w:hAnsi="Helvetica"/>
                <w:shd w:val="clear" w:color="auto" w:fill="FFFFFF"/>
              </w:rPr>
              <w:t>basic</w:t>
            </w:r>
            <w:proofErr w:type="spellEnd"/>
            <w:r w:rsidR="00596316">
              <w:rPr>
                <w:rFonts w:ascii="Helvetica" w:hAnsi="Helvetica"/>
                <w:shd w:val="clear" w:color="auto" w:fill="FFFFFF"/>
              </w:rPr>
              <w:t xml:space="preserve"> </w:t>
            </w:r>
            <w:proofErr w:type="spellStart"/>
            <w:r w:rsidR="00596316">
              <w:rPr>
                <w:rFonts w:ascii="Helvetica" w:hAnsi="Helvetica"/>
                <w:shd w:val="clear" w:color="auto" w:fill="FFFFFF"/>
              </w:rPr>
              <w:t>education</w:t>
            </w:r>
            <w:proofErr w:type="spellEnd"/>
            <w:r w:rsidR="00596316">
              <w:rPr>
                <w:rFonts w:ascii="Helvetica" w:hAnsi="Helvetica"/>
                <w:shd w:val="clear" w:color="auto" w:fill="FFFFFF"/>
              </w:rPr>
              <w:t xml:space="preserve"> </w:t>
            </w:r>
            <w:proofErr w:type="spellStart"/>
            <w:r w:rsidR="00596316">
              <w:rPr>
                <w:rFonts w:ascii="Helvetica" w:hAnsi="Helvetica"/>
                <w:shd w:val="clear" w:color="auto" w:fill="FFFFFF"/>
              </w:rPr>
              <w:t>regarding</w:t>
            </w:r>
            <w:proofErr w:type="spellEnd"/>
            <w:r w:rsidR="00596316">
              <w:rPr>
                <w:rFonts w:ascii="Helvetica" w:hAnsi="Helvetica"/>
                <w:shd w:val="clear" w:color="auto" w:fill="FFFFFF"/>
              </w:rPr>
              <w:t xml:space="preserve"> </w:t>
            </w:r>
            <w:proofErr w:type="spellStart"/>
            <w:r w:rsidR="00596316">
              <w:rPr>
                <w:rFonts w:ascii="Helvetica" w:hAnsi="Helvetica"/>
                <w:shd w:val="clear" w:color="auto" w:fill="FFFFFF"/>
              </w:rPr>
              <w:t>can</w:t>
            </w:r>
            <w:r w:rsidRPr="00E666CF">
              <w:rPr>
                <w:rFonts w:ascii="Helvetica" w:hAnsi="Helvetica"/>
                <w:shd w:val="clear" w:color="auto" w:fill="FFFFFF"/>
              </w:rPr>
              <w:t>c</w:t>
            </w:r>
            <w:r w:rsidR="00596316">
              <w:rPr>
                <w:rFonts w:ascii="Helvetica" w:hAnsi="Helvetica"/>
                <w:shd w:val="clear" w:color="auto" w:fill="FFFFFF"/>
              </w:rPr>
              <w:t>er</w:t>
            </w:r>
            <w:proofErr w:type="spellEnd"/>
            <w:r w:rsidRPr="00E666CF">
              <w:rPr>
                <w:rFonts w:ascii="Helvetica" w:hAnsi="Helvetica"/>
                <w:shd w:val="clear" w:color="auto" w:fill="FFFFFF"/>
              </w:rPr>
              <w:t xml:space="preserve"> </w:t>
            </w:r>
            <w:proofErr w:type="spellStart"/>
            <w:r w:rsidRPr="00E666CF">
              <w:rPr>
                <w:rFonts w:ascii="Helvetica" w:hAnsi="Helvetica"/>
                <w:shd w:val="clear" w:color="auto" w:fill="FFFFFF"/>
              </w:rPr>
              <w:t>pain</w:t>
            </w:r>
            <w:proofErr w:type="spellEnd"/>
            <w:r w:rsidRPr="00E666CF">
              <w:rPr>
                <w:rFonts w:ascii="Helvetica" w:hAnsi="Helvetica"/>
                <w:shd w:val="clear" w:color="auto" w:fill="FFFFFF"/>
              </w:rPr>
              <w:t xml:space="preserve"> management </w:t>
            </w:r>
            <w:proofErr w:type="spellStart"/>
            <w:r w:rsidRPr="00E666CF">
              <w:rPr>
                <w:rFonts w:ascii="Helvetica" w:hAnsi="Helvetica"/>
                <w:shd w:val="clear" w:color="auto" w:fill="FFFFFF"/>
              </w:rPr>
              <w:t>considering</w:t>
            </w:r>
            <w:proofErr w:type="spellEnd"/>
            <w:r w:rsidRPr="00E666CF">
              <w:rPr>
                <w:rFonts w:ascii="Helvetica" w:hAnsi="Helvetica"/>
                <w:shd w:val="clear" w:color="auto" w:fill="FFFFFF"/>
              </w:rPr>
              <w:t xml:space="preserve"> </w:t>
            </w:r>
            <w:proofErr w:type="spellStart"/>
            <w:r w:rsidRPr="00E666CF">
              <w:rPr>
                <w:rFonts w:ascii="Helvetica" w:hAnsi="Helvetica"/>
                <w:shd w:val="clear" w:color="auto" w:fill="FFFFFF"/>
              </w:rPr>
              <w:t>that</w:t>
            </w:r>
            <w:proofErr w:type="spellEnd"/>
            <w:r w:rsidRPr="00E666CF">
              <w:rPr>
                <w:rFonts w:ascii="Helvetica" w:hAnsi="Helvetica"/>
                <w:shd w:val="clear" w:color="auto" w:fill="FFFFFF"/>
              </w:rPr>
              <w:t xml:space="preserve"> </w:t>
            </w:r>
            <w:proofErr w:type="spellStart"/>
            <w:r w:rsidRPr="00E666CF">
              <w:rPr>
                <w:rFonts w:ascii="Helvetica" w:hAnsi="Helvetica"/>
                <w:shd w:val="clear" w:color="auto" w:fill="FFFFFF"/>
              </w:rPr>
              <w:t>undergraduate</w:t>
            </w:r>
            <w:proofErr w:type="spellEnd"/>
            <w:r w:rsidRPr="00E666CF">
              <w:rPr>
                <w:rFonts w:ascii="Helvetica" w:hAnsi="Helvetica"/>
                <w:shd w:val="clear" w:color="auto" w:fill="FFFFFF"/>
              </w:rPr>
              <w:t xml:space="preserve"> </w:t>
            </w:r>
            <w:proofErr w:type="spellStart"/>
            <w:r w:rsidRPr="00E666CF">
              <w:rPr>
                <w:rFonts w:ascii="Helvetica" w:hAnsi="Helvetica"/>
                <w:shd w:val="clear" w:color="auto" w:fill="FFFFFF"/>
              </w:rPr>
              <w:t>studies</w:t>
            </w:r>
            <w:proofErr w:type="spellEnd"/>
            <w:r w:rsidRPr="00E666CF">
              <w:rPr>
                <w:rFonts w:ascii="Helvetica" w:hAnsi="Helvetica"/>
                <w:shd w:val="clear" w:color="auto" w:fill="FFFFFF"/>
              </w:rPr>
              <w:t xml:space="preserve"> do </w:t>
            </w:r>
            <w:proofErr w:type="spellStart"/>
            <w:r w:rsidRPr="00E666CF">
              <w:rPr>
                <w:rFonts w:ascii="Helvetica" w:hAnsi="Helvetica"/>
                <w:shd w:val="clear" w:color="auto" w:fill="FFFFFF"/>
              </w:rPr>
              <w:t>not</w:t>
            </w:r>
            <w:proofErr w:type="spellEnd"/>
            <w:r w:rsidRPr="00E666CF">
              <w:rPr>
                <w:rFonts w:ascii="Helvetica" w:hAnsi="Helvetica"/>
                <w:shd w:val="clear" w:color="auto" w:fill="FFFFFF"/>
              </w:rPr>
              <w:t xml:space="preserve"> </w:t>
            </w:r>
            <w:proofErr w:type="spellStart"/>
            <w:r w:rsidRPr="00E666CF">
              <w:rPr>
                <w:rFonts w:ascii="Helvetica" w:hAnsi="Helvetica"/>
                <w:shd w:val="clear" w:color="auto" w:fill="FFFFFF"/>
              </w:rPr>
              <w:t>include</w:t>
            </w:r>
            <w:proofErr w:type="spellEnd"/>
            <w:r w:rsidRPr="00E666CF">
              <w:rPr>
                <w:rFonts w:ascii="Helvetica" w:hAnsi="Helvetica"/>
                <w:shd w:val="clear" w:color="auto" w:fill="FFFFFF"/>
              </w:rPr>
              <w:t xml:space="preserve"> </w:t>
            </w:r>
            <w:proofErr w:type="spellStart"/>
            <w:r w:rsidRPr="00E666CF">
              <w:rPr>
                <w:rFonts w:ascii="Helvetica" w:hAnsi="Helvetica"/>
                <w:shd w:val="clear" w:color="auto" w:fill="FFFFFF"/>
              </w:rPr>
              <w:t>modules</w:t>
            </w:r>
            <w:proofErr w:type="spellEnd"/>
            <w:r w:rsidRPr="00E666CF">
              <w:rPr>
                <w:rFonts w:ascii="Helvetica" w:hAnsi="Helvetica"/>
                <w:shd w:val="clear" w:color="auto" w:fill="FFFFFF"/>
              </w:rPr>
              <w:t xml:space="preserve"> </w:t>
            </w:r>
            <w:proofErr w:type="spellStart"/>
            <w:r w:rsidRPr="00E666CF">
              <w:rPr>
                <w:rFonts w:ascii="Helvetica" w:hAnsi="Helvetica"/>
                <w:shd w:val="clear" w:color="auto" w:fill="FFFFFF"/>
              </w:rPr>
              <w:t>of</w:t>
            </w:r>
            <w:proofErr w:type="spellEnd"/>
            <w:r w:rsidRPr="00E666CF">
              <w:rPr>
                <w:rFonts w:ascii="Helvetica" w:hAnsi="Helvetica"/>
                <w:shd w:val="clear" w:color="auto" w:fill="FFFFFF"/>
              </w:rPr>
              <w:t xml:space="preserve"> </w:t>
            </w:r>
            <w:proofErr w:type="spellStart"/>
            <w:r w:rsidRPr="00E666CF">
              <w:rPr>
                <w:rFonts w:ascii="Helvetica" w:hAnsi="Helvetica"/>
                <w:shd w:val="clear" w:color="auto" w:fill="FFFFFF"/>
              </w:rPr>
              <w:t>pain</w:t>
            </w:r>
            <w:proofErr w:type="spellEnd"/>
            <w:r w:rsidRPr="00E666CF">
              <w:rPr>
                <w:rFonts w:ascii="Helvetica" w:hAnsi="Helvetica"/>
                <w:shd w:val="clear" w:color="auto" w:fill="FFFFFF"/>
              </w:rPr>
              <w:t xml:space="preserve"> medicine.</w:t>
            </w:r>
          </w:p>
          <w:p w:rsidR="00BA6BE0" w:rsidRPr="00E666CF" w:rsidRDefault="007D6990" w:rsidP="00DB344C">
            <w:pPr>
              <w:spacing w:before="40" w:after="40" w:line="360" w:lineRule="auto"/>
              <w:jc w:val="both"/>
              <w:rPr>
                <w:rFonts w:ascii="Helvetica" w:hAnsi="Helvetica"/>
                <w:shd w:val="clear" w:color="auto" w:fill="FFFFFF"/>
              </w:rPr>
            </w:pPr>
            <w:r w:rsidRPr="00E666CF">
              <w:rPr>
                <w:rFonts w:ascii="Helvetica" w:hAnsi="Helvetica"/>
                <w:shd w:val="clear" w:color="auto" w:fill="FFFFFF"/>
              </w:rPr>
              <w:t xml:space="preserve"> </w:t>
            </w:r>
          </w:p>
          <w:p w:rsidR="003013A8" w:rsidRPr="00BF07F4" w:rsidRDefault="00BA6BE0" w:rsidP="00DB344C">
            <w:pPr>
              <w:spacing w:before="40" w:after="40" w:line="360" w:lineRule="auto"/>
              <w:jc w:val="both"/>
              <w:rPr>
                <w:rFonts w:ascii="Arial" w:hAnsi="Arial" w:cs="Arial"/>
                <w:b/>
                <w:lang w:eastAsia="sl-SI"/>
              </w:rPr>
            </w:pPr>
            <w:proofErr w:type="spellStart"/>
            <w:r w:rsidRPr="00BF07F4">
              <w:rPr>
                <w:rFonts w:ascii="Arial" w:hAnsi="Arial" w:cs="Arial"/>
                <w:b/>
                <w:lang w:eastAsia="sl-SI"/>
              </w:rPr>
              <w:t>Objectives</w:t>
            </w:r>
            <w:proofErr w:type="spellEnd"/>
            <w:r w:rsidRPr="00BF07F4">
              <w:rPr>
                <w:rFonts w:ascii="Arial" w:hAnsi="Arial" w:cs="Arial"/>
                <w:b/>
                <w:lang w:eastAsia="sl-SI"/>
              </w:rPr>
              <w:t xml:space="preserve"> </w:t>
            </w:r>
            <w:proofErr w:type="spellStart"/>
            <w:r w:rsidRPr="00BF07F4">
              <w:rPr>
                <w:rFonts w:ascii="Arial" w:hAnsi="Arial" w:cs="Arial"/>
                <w:b/>
                <w:lang w:eastAsia="sl-SI"/>
              </w:rPr>
              <w:t>of</w:t>
            </w:r>
            <w:proofErr w:type="spellEnd"/>
            <w:r w:rsidRPr="00BF07F4">
              <w:rPr>
                <w:rFonts w:ascii="Arial" w:hAnsi="Arial" w:cs="Arial"/>
                <w:b/>
                <w:lang w:eastAsia="sl-SI"/>
              </w:rPr>
              <w:t xml:space="preserve"> </w:t>
            </w:r>
            <w:proofErr w:type="spellStart"/>
            <w:r w:rsidRPr="00BF07F4">
              <w:rPr>
                <w:rFonts w:ascii="Arial" w:hAnsi="Arial" w:cs="Arial"/>
                <w:b/>
                <w:lang w:eastAsia="sl-SI"/>
              </w:rPr>
              <w:t>the</w:t>
            </w:r>
            <w:proofErr w:type="spellEnd"/>
            <w:r w:rsidRPr="00BF07F4">
              <w:rPr>
                <w:rFonts w:ascii="Arial" w:hAnsi="Arial" w:cs="Arial"/>
                <w:b/>
                <w:lang w:eastAsia="sl-SI"/>
              </w:rPr>
              <w:t xml:space="preserve"> </w:t>
            </w:r>
            <w:proofErr w:type="spellStart"/>
            <w:r w:rsidRPr="00BF07F4">
              <w:rPr>
                <w:rFonts w:ascii="Arial" w:hAnsi="Arial" w:cs="Arial"/>
                <w:b/>
                <w:lang w:eastAsia="sl-SI"/>
              </w:rPr>
              <w:t>course</w:t>
            </w:r>
            <w:proofErr w:type="spellEnd"/>
            <w:r w:rsidRPr="00BF07F4">
              <w:rPr>
                <w:rFonts w:ascii="Arial" w:hAnsi="Arial" w:cs="Arial"/>
                <w:b/>
                <w:lang w:eastAsia="sl-SI"/>
              </w:rPr>
              <w:t xml:space="preserve">: </w:t>
            </w:r>
          </w:p>
          <w:p w:rsidR="00BA6BE0" w:rsidRPr="00BE33CF" w:rsidRDefault="003013A8" w:rsidP="00DB344C">
            <w:pPr>
              <w:spacing w:before="40" w:after="40" w:line="360" w:lineRule="auto"/>
              <w:jc w:val="both"/>
              <w:rPr>
                <w:rFonts w:ascii="Arial" w:hAnsi="Arial" w:cs="Arial"/>
                <w:lang w:eastAsia="sl-SI"/>
              </w:rPr>
            </w:pPr>
            <w:r w:rsidRPr="00BE33CF">
              <w:rPr>
                <w:rFonts w:ascii="Arial" w:hAnsi="Arial" w:cs="Arial"/>
                <w:lang w:eastAsia="sl-SI"/>
              </w:rPr>
              <w:t xml:space="preserve">- </w:t>
            </w:r>
            <w:proofErr w:type="spellStart"/>
            <w:r w:rsidR="00BA6BE0" w:rsidRPr="00BE33CF">
              <w:rPr>
                <w:rFonts w:ascii="Arial" w:hAnsi="Arial" w:cs="Arial"/>
                <w:lang w:eastAsia="sl-SI"/>
              </w:rPr>
              <w:t>Naučiti</w:t>
            </w:r>
            <w:proofErr w:type="spellEnd"/>
            <w:r w:rsidR="00BA6BE0" w:rsidRPr="00BE33CF">
              <w:rPr>
                <w:rFonts w:ascii="Arial" w:hAnsi="Arial" w:cs="Arial"/>
                <w:lang w:eastAsia="sl-SI"/>
              </w:rPr>
              <w:t xml:space="preserve"> polaznike da objasne razliku između </w:t>
            </w:r>
            <w:proofErr w:type="spellStart"/>
            <w:r w:rsidR="00BA6BE0" w:rsidRPr="00BE33CF">
              <w:rPr>
                <w:rFonts w:ascii="Arial" w:hAnsi="Arial" w:cs="Arial"/>
                <w:lang w:eastAsia="sl-SI"/>
              </w:rPr>
              <w:t>nocicepcije</w:t>
            </w:r>
            <w:proofErr w:type="spellEnd"/>
            <w:r w:rsidR="00BA6BE0" w:rsidRPr="00BE33CF">
              <w:rPr>
                <w:rFonts w:ascii="Arial" w:hAnsi="Arial" w:cs="Arial"/>
                <w:lang w:eastAsia="sl-SI"/>
              </w:rPr>
              <w:t xml:space="preserve"> i bola</w:t>
            </w:r>
          </w:p>
          <w:p w:rsidR="00BA6BE0" w:rsidRPr="00BE33CF" w:rsidRDefault="00BA6BE0" w:rsidP="00DB344C">
            <w:pPr>
              <w:spacing w:before="40" w:after="40" w:line="360" w:lineRule="auto"/>
              <w:jc w:val="both"/>
              <w:rPr>
                <w:rFonts w:ascii="Arial" w:hAnsi="Arial" w:cs="Arial"/>
                <w:lang w:eastAsia="sl-SI"/>
              </w:rPr>
            </w:pPr>
            <w:r w:rsidRPr="00BE33CF">
              <w:rPr>
                <w:rFonts w:ascii="Arial" w:hAnsi="Arial" w:cs="Arial"/>
                <w:lang w:eastAsia="sl-SI"/>
              </w:rPr>
              <w:t xml:space="preserve">- </w:t>
            </w:r>
            <w:proofErr w:type="spellStart"/>
            <w:r w:rsidRPr="00BE33CF">
              <w:rPr>
                <w:rFonts w:ascii="Arial" w:hAnsi="Arial" w:cs="Arial"/>
                <w:lang w:eastAsia="sl-SI"/>
              </w:rPr>
              <w:t>Naučiti</w:t>
            </w:r>
            <w:proofErr w:type="spellEnd"/>
            <w:r w:rsidRPr="00BE33CF">
              <w:rPr>
                <w:rFonts w:ascii="Arial" w:hAnsi="Arial" w:cs="Arial"/>
                <w:lang w:eastAsia="sl-SI"/>
              </w:rPr>
              <w:t xml:space="preserve"> polaznike da objasne razliku između akutnog i hroničnog bola</w:t>
            </w:r>
          </w:p>
          <w:p w:rsidR="003013A8" w:rsidRPr="00BE33CF" w:rsidRDefault="003013A8" w:rsidP="00DB344C">
            <w:pPr>
              <w:spacing w:before="40" w:after="40" w:line="360" w:lineRule="auto"/>
              <w:jc w:val="both"/>
              <w:rPr>
                <w:rFonts w:ascii="Arial" w:hAnsi="Arial" w:cs="Arial"/>
                <w:lang w:eastAsia="sl-SI"/>
              </w:rPr>
            </w:pPr>
            <w:r w:rsidRPr="00BE33CF">
              <w:rPr>
                <w:rFonts w:ascii="Arial" w:hAnsi="Arial" w:cs="Arial"/>
                <w:lang w:eastAsia="sl-SI"/>
              </w:rPr>
              <w:t>- Tehnike uzimanja anamneze i pregleda pacijenata sa akutnim i hroničnim bolom</w:t>
            </w:r>
          </w:p>
          <w:p w:rsidR="00BA6BE0" w:rsidRPr="00BE33CF" w:rsidRDefault="00BA6BE0" w:rsidP="00DB344C">
            <w:pPr>
              <w:spacing w:before="40" w:after="40" w:line="360" w:lineRule="auto"/>
              <w:jc w:val="both"/>
              <w:rPr>
                <w:rFonts w:ascii="Arial" w:hAnsi="Arial" w:cs="Arial"/>
                <w:lang w:eastAsia="sl-SI"/>
              </w:rPr>
            </w:pPr>
            <w:r w:rsidRPr="00BE33CF">
              <w:rPr>
                <w:rFonts w:ascii="Arial" w:hAnsi="Arial" w:cs="Arial"/>
                <w:lang w:eastAsia="sl-SI"/>
              </w:rPr>
              <w:t xml:space="preserve">- </w:t>
            </w:r>
            <w:proofErr w:type="spellStart"/>
            <w:r w:rsidRPr="00BE33CF">
              <w:rPr>
                <w:rFonts w:ascii="Arial" w:hAnsi="Arial" w:cs="Arial"/>
                <w:lang w:eastAsia="sl-SI"/>
              </w:rPr>
              <w:t>Naučiti</w:t>
            </w:r>
            <w:proofErr w:type="spellEnd"/>
            <w:r w:rsidRPr="00BE33CF">
              <w:rPr>
                <w:rFonts w:ascii="Arial" w:hAnsi="Arial" w:cs="Arial"/>
                <w:lang w:eastAsia="sl-SI"/>
              </w:rPr>
              <w:t xml:space="preserve"> polaznike da objasne fiziologiju </w:t>
            </w:r>
            <w:proofErr w:type="spellStart"/>
            <w:r w:rsidRPr="00BE33CF">
              <w:rPr>
                <w:rFonts w:ascii="Arial" w:hAnsi="Arial" w:cs="Arial"/>
                <w:lang w:eastAsia="sl-SI"/>
              </w:rPr>
              <w:t>ushodnih</w:t>
            </w:r>
            <w:proofErr w:type="spellEnd"/>
            <w:r w:rsidRPr="00BE33CF">
              <w:rPr>
                <w:rFonts w:ascii="Arial" w:hAnsi="Arial" w:cs="Arial"/>
                <w:lang w:eastAsia="sl-SI"/>
              </w:rPr>
              <w:t xml:space="preserve"> i </w:t>
            </w:r>
            <w:proofErr w:type="spellStart"/>
            <w:r w:rsidRPr="00BE33CF">
              <w:rPr>
                <w:rFonts w:ascii="Arial" w:hAnsi="Arial" w:cs="Arial"/>
                <w:lang w:eastAsia="sl-SI"/>
              </w:rPr>
              <w:t>nizhodnih</w:t>
            </w:r>
            <w:proofErr w:type="spellEnd"/>
            <w:r w:rsidRPr="00BE33CF">
              <w:rPr>
                <w:rFonts w:ascii="Arial" w:hAnsi="Arial" w:cs="Arial"/>
                <w:lang w:eastAsia="sl-SI"/>
              </w:rPr>
              <w:t xml:space="preserve"> puteva </w:t>
            </w:r>
            <w:proofErr w:type="spellStart"/>
            <w:r w:rsidRPr="00BE33CF">
              <w:rPr>
                <w:rFonts w:ascii="Arial" w:hAnsi="Arial" w:cs="Arial"/>
                <w:lang w:eastAsia="sl-SI"/>
              </w:rPr>
              <w:t>nociceptivne</w:t>
            </w:r>
            <w:proofErr w:type="spellEnd"/>
            <w:r w:rsidRPr="00BE33CF">
              <w:rPr>
                <w:rFonts w:ascii="Arial" w:hAnsi="Arial" w:cs="Arial"/>
                <w:lang w:eastAsia="sl-SI"/>
              </w:rPr>
              <w:t xml:space="preserve"> modulacije u centralnom nervnom sistemu u odnosu na sledeće</w:t>
            </w:r>
            <w:r w:rsidR="003013A8" w:rsidRPr="00BE33CF">
              <w:rPr>
                <w:rFonts w:ascii="Arial" w:hAnsi="Arial" w:cs="Arial"/>
                <w:lang w:eastAsia="sl-SI"/>
              </w:rPr>
              <w:t xml:space="preserve"> </w:t>
            </w:r>
            <w:r w:rsidRPr="00BE33CF">
              <w:rPr>
                <w:rFonts w:ascii="Arial" w:hAnsi="Arial" w:cs="Arial"/>
                <w:lang w:eastAsia="sl-SI"/>
              </w:rPr>
              <w:t xml:space="preserve">mehanizme </w:t>
            </w:r>
            <w:proofErr w:type="spellStart"/>
            <w:r w:rsidRPr="00BE33CF">
              <w:rPr>
                <w:rFonts w:ascii="Arial" w:hAnsi="Arial" w:cs="Arial"/>
                <w:lang w:eastAsia="sl-SI"/>
              </w:rPr>
              <w:t>delovanja</w:t>
            </w:r>
            <w:proofErr w:type="spellEnd"/>
            <w:r w:rsidRPr="00BE33CF">
              <w:rPr>
                <w:rFonts w:ascii="Arial" w:hAnsi="Arial" w:cs="Arial"/>
                <w:lang w:eastAsia="sl-SI"/>
              </w:rPr>
              <w:t xml:space="preserve"> NSAIL</w:t>
            </w:r>
          </w:p>
          <w:p w:rsidR="00E666CF" w:rsidRPr="00BE33CF" w:rsidRDefault="00BA6BE0" w:rsidP="00DB344C">
            <w:pPr>
              <w:spacing w:before="40" w:after="40" w:line="360" w:lineRule="auto"/>
              <w:jc w:val="both"/>
              <w:rPr>
                <w:rFonts w:ascii="Arial" w:hAnsi="Arial" w:cs="Arial"/>
                <w:lang w:eastAsia="sl-SI"/>
              </w:rPr>
            </w:pPr>
            <w:r w:rsidRPr="00BE33CF">
              <w:rPr>
                <w:rFonts w:ascii="Arial" w:hAnsi="Arial" w:cs="Arial"/>
                <w:lang w:eastAsia="sl-SI"/>
              </w:rPr>
              <w:t xml:space="preserve">- </w:t>
            </w:r>
            <w:proofErr w:type="spellStart"/>
            <w:r w:rsidRPr="00BE33CF">
              <w:rPr>
                <w:rFonts w:ascii="Arial" w:hAnsi="Arial" w:cs="Arial"/>
                <w:lang w:eastAsia="sl-SI"/>
              </w:rPr>
              <w:t>Naučiti</w:t>
            </w:r>
            <w:proofErr w:type="spellEnd"/>
            <w:r w:rsidRPr="00BE33CF">
              <w:rPr>
                <w:rFonts w:ascii="Arial" w:hAnsi="Arial" w:cs="Arial"/>
                <w:lang w:eastAsia="sl-SI"/>
              </w:rPr>
              <w:t xml:space="preserve"> polaznike neželjena dejstva</w:t>
            </w:r>
            <w:r w:rsidR="003013A8" w:rsidRPr="00BE33CF">
              <w:rPr>
                <w:rFonts w:ascii="Arial" w:hAnsi="Arial" w:cs="Arial"/>
                <w:lang w:eastAsia="sl-SI"/>
              </w:rPr>
              <w:t xml:space="preserve"> (uključujući toksičnost) NSAIL</w:t>
            </w:r>
          </w:p>
          <w:p w:rsidR="008141F4" w:rsidRPr="00BE33CF" w:rsidRDefault="008141F4" w:rsidP="00DB344C">
            <w:pPr>
              <w:spacing w:before="40" w:after="40"/>
              <w:jc w:val="both"/>
              <w:rPr>
                <w:rFonts w:ascii="Arial" w:hAnsi="Arial" w:cs="Arial"/>
                <w:lang w:eastAsia="sl-SI"/>
              </w:rPr>
            </w:pPr>
          </w:p>
          <w:p w:rsidR="008141F4" w:rsidRPr="00BE33CF" w:rsidRDefault="00E666CF" w:rsidP="00DB344C">
            <w:pPr>
              <w:spacing w:before="40" w:after="40"/>
              <w:jc w:val="both"/>
              <w:rPr>
                <w:rFonts w:ascii="Arial" w:hAnsi="Arial" w:cs="Arial"/>
                <w:lang w:eastAsia="sl-SI"/>
              </w:rPr>
            </w:pPr>
            <w:r w:rsidRPr="00BE33CF">
              <w:rPr>
                <w:rFonts w:ascii="Cambria-Bold" w:eastAsia="Times New Roman" w:hAnsi="Cambria-Bold" w:cs="Cambria-Bold"/>
                <w:b/>
                <w:bCs/>
                <w:sz w:val="28"/>
                <w:szCs w:val="28"/>
                <w:lang w:val="en-US"/>
              </w:rPr>
              <w:t>Description of activities</w:t>
            </w:r>
          </w:p>
          <w:p w:rsidR="008141F4" w:rsidRPr="00BE33CF" w:rsidRDefault="008141F4" w:rsidP="00DB344C">
            <w:pPr>
              <w:spacing w:before="40" w:after="40"/>
              <w:jc w:val="both"/>
              <w:rPr>
                <w:rFonts w:ascii="Arial" w:hAnsi="Arial" w:cs="Arial"/>
                <w:lang w:eastAsia="sl-SI"/>
              </w:rPr>
            </w:pPr>
          </w:p>
          <w:p w:rsidR="000E340C" w:rsidRPr="00BE33CF" w:rsidRDefault="00EC22B3" w:rsidP="00DB344C">
            <w:pPr>
              <w:spacing w:before="40" w:after="40" w:line="360" w:lineRule="auto"/>
              <w:jc w:val="both"/>
              <w:rPr>
                <w:rFonts w:ascii="Arial" w:hAnsi="Arial" w:cs="Arial"/>
                <w:lang w:eastAsia="sl-SI"/>
              </w:rPr>
            </w:pPr>
            <w:r w:rsidRPr="00BE33CF">
              <w:rPr>
                <w:rFonts w:ascii="Arial" w:hAnsi="Arial" w:cs="Arial"/>
                <w:lang w:eastAsia="sl-SI"/>
              </w:rPr>
              <w:t xml:space="preserve">        </w:t>
            </w:r>
            <w:r w:rsidR="0074526F" w:rsidRPr="00BE33CF">
              <w:rPr>
                <w:rFonts w:ascii="Arial" w:hAnsi="Arial" w:cs="Arial"/>
                <w:lang w:eastAsia="sl-SI"/>
              </w:rPr>
              <w:t xml:space="preserve">Nakon izrade nacrta edukativnog materijala,  izabrano je </w:t>
            </w:r>
            <w:r w:rsidR="005E60BF" w:rsidRPr="00BE33CF">
              <w:rPr>
                <w:rFonts w:ascii="Arial" w:hAnsi="Arial" w:cs="Arial"/>
                <w:lang w:eastAsia="sl-SI"/>
              </w:rPr>
              <w:t>pet</w:t>
            </w:r>
            <w:r w:rsidR="0074526F" w:rsidRPr="00BE33CF">
              <w:rPr>
                <w:rFonts w:ascii="Arial" w:hAnsi="Arial" w:cs="Arial"/>
                <w:lang w:eastAsia="sl-SI"/>
              </w:rPr>
              <w:t xml:space="preserve"> </w:t>
            </w:r>
            <w:proofErr w:type="spellStart"/>
            <w:r w:rsidR="0074526F" w:rsidRPr="00BE33CF">
              <w:rPr>
                <w:rFonts w:ascii="Arial" w:hAnsi="Arial" w:cs="Arial"/>
                <w:lang w:eastAsia="sl-SI"/>
              </w:rPr>
              <w:t>predavača</w:t>
            </w:r>
            <w:proofErr w:type="spellEnd"/>
            <w:r w:rsidR="0074526F" w:rsidRPr="00BE33CF">
              <w:rPr>
                <w:rFonts w:ascii="Arial" w:hAnsi="Arial" w:cs="Arial"/>
                <w:lang w:eastAsia="sl-SI"/>
              </w:rPr>
              <w:t xml:space="preserve"> koji su, svako</w:t>
            </w:r>
            <w:r w:rsidR="005E60BF" w:rsidRPr="00BE33CF">
              <w:rPr>
                <w:rFonts w:ascii="Arial" w:hAnsi="Arial" w:cs="Arial"/>
                <w:lang w:eastAsia="sl-SI"/>
              </w:rPr>
              <w:t xml:space="preserve"> iz svoje ekspertske oblasti</w:t>
            </w:r>
            <w:r w:rsidR="0074526F" w:rsidRPr="00BE33CF">
              <w:rPr>
                <w:rFonts w:ascii="Arial" w:hAnsi="Arial" w:cs="Arial"/>
                <w:lang w:eastAsia="sl-SI"/>
              </w:rPr>
              <w:t>, napisa</w:t>
            </w:r>
            <w:r w:rsidR="005E60BF" w:rsidRPr="00BE33CF">
              <w:rPr>
                <w:rFonts w:ascii="Arial" w:hAnsi="Arial" w:cs="Arial"/>
                <w:lang w:eastAsia="sl-SI"/>
              </w:rPr>
              <w:t>li materijal i izradili</w:t>
            </w:r>
            <w:r w:rsidR="0074526F" w:rsidRPr="00BE33CF">
              <w:rPr>
                <w:rFonts w:ascii="Arial" w:hAnsi="Arial" w:cs="Arial"/>
                <w:lang w:eastAsia="sl-SI"/>
              </w:rPr>
              <w:t xml:space="preserve"> prezentaciju. Sveukupan edukativni materijal je</w:t>
            </w:r>
            <w:r w:rsidR="00875B53" w:rsidRPr="00BE33CF">
              <w:rPr>
                <w:rFonts w:ascii="Arial" w:hAnsi="Arial" w:cs="Arial"/>
                <w:lang w:eastAsia="sl-SI"/>
              </w:rPr>
              <w:t xml:space="preserve"> sistematizovan, pripremljen u zahtevanom formatu i</w:t>
            </w:r>
            <w:r w:rsidR="0074526F" w:rsidRPr="00BE33CF">
              <w:rPr>
                <w:rFonts w:ascii="Arial" w:hAnsi="Arial" w:cs="Arial"/>
                <w:lang w:eastAsia="sl-SI"/>
              </w:rPr>
              <w:t xml:space="preserve"> poslat Zdravstvenom </w:t>
            </w:r>
            <w:proofErr w:type="spellStart"/>
            <w:r w:rsidR="0074526F" w:rsidRPr="00BE33CF">
              <w:rPr>
                <w:rFonts w:ascii="Arial" w:hAnsi="Arial" w:cs="Arial"/>
                <w:lang w:eastAsia="sl-SI"/>
              </w:rPr>
              <w:t>savetu</w:t>
            </w:r>
            <w:proofErr w:type="spellEnd"/>
            <w:r w:rsidR="0074526F" w:rsidRPr="00BE33CF">
              <w:rPr>
                <w:rFonts w:ascii="Arial" w:hAnsi="Arial" w:cs="Arial"/>
                <w:lang w:eastAsia="sl-SI"/>
              </w:rPr>
              <w:t xml:space="preserve"> Srbije na akreditaciju</w:t>
            </w:r>
            <w:r w:rsidR="00875B53" w:rsidRPr="00BE33CF">
              <w:rPr>
                <w:rFonts w:ascii="Arial" w:hAnsi="Arial" w:cs="Arial"/>
                <w:lang w:eastAsia="sl-SI"/>
              </w:rPr>
              <w:t>. Materijal je</w:t>
            </w:r>
            <w:r w:rsidR="0074526F" w:rsidRPr="00BE33CF">
              <w:rPr>
                <w:rFonts w:ascii="Arial" w:hAnsi="Arial" w:cs="Arial"/>
                <w:lang w:eastAsia="sl-SI"/>
              </w:rPr>
              <w:t xml:space="preserve"> ocenjen kao izuzetno kvalitetan i akreditovan </w:t>
            </w:r>
            <w:r w:rsidR="00875B53" w:rsidRPr="00BE33CF">
              <w:rPr>
                <w:rFonts w:ascii="Arial" w:hAnsi="Arial" w:cs="Arial"/>
                <w:lang w:eastAsia="sl-SI"/>
              </w:rPr>
              <w:t xml:space="preserve">kao seminar prve kategorije </w:t>
            </w:r>
            <w:r w:rsidR="0074526F" w:rsidRPr="00BE33CF">
              <w:rPr>
                <w:rFonts w:ascii="Arial" w:hAnsi="Arial" w:cs="Arial"/>
                <w:lang w:eastAsia="sl-SI"/>
              </w:rPr>
              <w:t>sa najvećim brojem KME bodova.</w:t>
            </w:r>
            <w:r w:rsidR="00875B53" w:rsidRPr="00BE33CF">
              <w:rPr>
                <w:rFonts w:ascii="Arial" w:hAnsi="Arial" w:cs="Arial"/>
                <w:lang w:eastAsia="sl-SI"/>
              </w:rPr>
              <w:t xml:space="preserve"> Akreditacija je objavljena na </w:t>
            </w:r>
            <w:proofErr w:type="spellStart"/>
            <w:r w:rsidR="00875B53" w:rsidRPr="00BE33CF">
              <w:rPr>
                <w:rFonts w:ascii="Arial" w:hAnsi="Arial" w:cs="Arial"/>
                <w:lang w:eastAsia="sl-SI"/>
              </w:rPr>
              <w:t>sajtu</w:t>
            </w:r>
            <w:proofErr w:type="spellEnd"/>
            <w:r w:rsidR="00875B53" w:rsidRPr="00BE33CF">
              <w:rPr>
                <w:rFonts w:ascii="Arial" w:hAnsi="Arial" w:cs="Arial"/>
                <w:lang w:eastAsia="sl-SI"/>
              </w:rPr>
              <w:t xml:space="preserve"> Zdravstvenog </w:t>
            </w:r>
            <w:proofErr w:type="spellStart"/>
            <w:r w:rsidR="00875B53" w:rsidRPr="00BE33CF">
              <w:rPr>
                <w:rFonts w:ascii="Arial" w:hAnsi="Arial" w:cs="Arial"/>
                <w:lang w:eastAsia="sl-SI"/>
              </w:rPr>
              <w:t>saveta</w:t>
            </w:r>
            <w:proofErr w:type="spellEnd"/>
            <w:r w:rsidR="00875B53" w:rsidRPr="00BE33CF">
              <w:rPr>
                <w:rFonts w:ascii="Arial" w:hAnsi="Arial" w:cs="Arial"/>
                <w:lang w:eastAsia="sl-SI"/>
              </w:rPr>
              <w:t xml:space="preserve"> Srbije</w:t>
            </w:r>
            <w:r w:rsidR="0048017D" w:rsidRPr="00BE33CF">
              <w:rPr>
                <w:rFonts w:ascii="Arial" w:hAnsi="Arial" w:cs="Arial"/>
                <w:lang w:eastAsia="sl-SI"/>
              </w:rPr>
              <w:t>, a dokaz o tome nalazi se u prilogu ovog dokumenta.</w:t>
            </w:r>
          </w:p>
          <w:p w:rsidR="00EC22B3" w:rsidRPr="00BE33CF" w:rsidRDefault="00EC22B3" w:rsidP="00DB344C">
            <w:pPr>
              <w:spacing w:before="40" w:after="40" w:line="360" w:lineRule="auto"/>
              <w:jc w:val="both"/>
              <w:rPr>
                <w:rFonts w:ascii="Arial" w:hAnsi="Arial" w:cs="Arial"/>
                <w:lang w:eastAsia="sl-SI"/>
              </w:rPr>
            </w:pPr>
            <w:r w:rsidRPr="00BE33CF">
              <w:rPr>
                <w:rFonts w:ascii="Arial" w:hAnsi="Arial" w:cs="Arial"/>
                <w:lang w:eastAsia="sl-SI"/>
              </w:rPr>
              <w:t xml:space="preserve">          </w:t>
            </w:r>
            <w:r w:rsidR="00875B53" w:rsidRPr="00BE33CF">
              <w:rPr>
                <w:rFonts w:ascii="Arial" w:hAnsi="Arial" w:cs="Arial"/>
                <w:lang w:eastAsia="sl-SI"/>
              </w:rPr>
              <w:t xml:space="preserve">Pripremljen je flajer u kome je prezentovan program skupa, kao i </w:t>
            </w:r>
            <w:r w:rsidRPr="00BE33CF">
              <w:rPr>
                <w:rFonts w:ascii="Arial" w:hAnsi="Arial" w:cs="Arial"/>
                <w:lang w:eastAsia="sl-SI"/>
              </w:rPr>
              <w:t>odluka o akre</w:t>
            </w:r>
            <w:r w:rsidR="005E60BF" w:rsidRPr="00BE33CF">
              <w:rPr>
                <w:rFonts w:ascii="Arial" w:hAnsi="Arial" w:cs="Arial"/>
                <w:lang w:eastAsia="sl-SI"/>
              </w:rPr>
              <w:t>d</w:t>
            </w:r>
            <w:r w:rsidRPr="00BE33CF">
              <w:rPr>
                <w:rFonts w:ascii="Arial" w:hAnsi="Arial" w:cs="Arial"/>
                <w:lang w:eastAsia="sl-SI"/>
              </w:rPr>
              <w:t xml:space="preserve">itaciji. Flajer je u digitalnom formatu postavljen na zvanični </w:t>
            </w:r>
            <w:proofErr w:type="spellStart"/>
            <w:r w:rsidRPr="00BE33CF">
              <w:rPr>
                <w:rFonts w:ascii="Arial" w:hAnsi="Arial" w:cs="Arial"/>
                <w:lang w:eastAsia="sl-SI"/>
              </w:rPr>
              <w:t>sajt</w:t>
            </w:r>
            <w:proofErr w:type="spellEnd"/>
            <w:r w:rsidRPr="00BE33CF">
              <w:rPr>
                <w:rFonts w:ascii="Arial" w:hAnsi="Arial" w:cs="Arial"/>
                <w:lang w:eastAsia="sl-SI"/>
              </w:rPr>
              <w:t xml:space="preserve"> projekta, ali i </w:t>
            </w:r>
            <w:r w:rsidRPr="00BE33CF">
              <w:rPr>
                <w:rFonts w:ascii="Arial" w:hAnsi="Arial" w:cs="Arial"/>
                <w:lang w:eastAsia="sl-SI"/>
              </w:rPr>
              <w:lastRenderedPageBreak/>
              <w:t xml:space="preserve">poslat u vidu poziva potencijalnim učesnicima. </w:t>
            </w:r>
          </w:p>
          <w:p w:rsidR="005E60BF" w:rsidRPr="00BE33CF" w:rsidRDefault="00EC22B3" w:rsidP="00DB344C">
            <w:pPr>
              <w:spacing w:before="40" w:after="40" w:line="360" w:lineRule="auto"/>
              <w:jc w:val="both"/>
              <w:rPr>
                <w:rFonts w:ascii="Arial" w:hAnsi="Arial" w:cs="Arial"/>
                <w:lang w:eastAsia="sl-SI"/>
              </w:rPr>
            </w:pPr>
            <w:r w:rsidRPr="00BE33CF">
              <w:rPr>
                <w:rFonts w:ascii="Arial" w:hAnsi="Arial" w:cs="Arial"/>
                <w:lang w:eastAsia="sl-SI"/>
              </w:rPr>
              <w:t xml:space="preserve">            </w:t>
            </w:r>
            <w:r w:rsidR="005E60BF" w:rsidRPr="00BE33CF">
              <w:rPr>
                <w:rFonts w:ascii="Arial" w:hAnsi="Arial" w:cs="Arial"/>
                <w:lang w:eastAsia="sl-SI"/>
              </w:rPr>
              <w:t>Kurs je počeo od 16</w:t>
            </w:r>
            <w:r w:rsidR="000E340C" w:rsidRPr="00BE33CF">
              <w:rPr>
                <w:rFonts w:ascii="Arial" w:hAnsi="Arial" w:cs="Arial"/>
                <w:lang w:eastAsia="sl-SI"/>
              </w:rPr>
              <w:t>.00</w:t>
            </w:r>
            <w:r w:rsidR="005E60BF" w:rsidRPr="00BE33CF">
              <w:rPr>
                <w:rFonts w:ascii="Arial" w:hAnsi="Arial" w:cs="Arial"/>
                <w:lang w:eastAsia="sl-SI"/>
              </w:rPr>
              <w:t xml:space="preserve"> č.</w:t>
            </w:r>
            <w:r w:rsidR="000E340C" w:rsidRPr="00BE33CF">
              <w:rPr>
                <w:rFonts w:ascii="Arial" w:hAnsi="Arial" w:cs="Arial"/>
                <w:lang w:eastAsia="sl-SI"/>
              </w:rPr>
              <w:t xml:space="preserve"> evidencijo</w:t>
            </w:r>
            <w:r w:rsidR="005E60BF" w:rsidRPr="00BE33CF">
              <w:rPr>
                <w:rFonts w:ascii="Arial" w:hAnsi="Arial" w:cs="Arial"/>
                <w:lang w:eastAsia="sl-SI"/>
              </w:rPr>
              <w:t xml:space="preserve">m učesnika. </w:t>
            </w:r>
            <w:r w:rsidR="004C7EF3">
              <w:rPr>
                <w:rFonts w:ascii="Arial" w:hAnsi="Arial" w:cs="Arial"/>
                <w:lang w:eastAsia="sl-SI"/>
              </w:rPr>
              <w:t>U 16.30 č. u</w:t>
            </w:r>
            <w:r w:rsidR="000E340C" w:rsidRPr="00BE33CF">
              <w:rPr>
                <w:rFonts w:ascii="Arial" w:hAnsi="Arial" w:cs="Arial"/>
                <w:lang w:eastAsia="sl-SI"/>
              </w:rPr>
              <w:t>česnike</w:t>
            </w:r>
            <w:r w:rsidR="005E60BF" w:rsidRPr="00BE33CF">
              <w:rPr>
                <w:rFonts w:ascii="Arial" w:hAnsi="Arial" w:cs="Arial"/>
                <w:lang w:eastAsia="sl-SI"/>
              </w:rPr>
              <w:t xml:space="preserve"> je</w:t>
            </w:r>
            <w:r w:rsidR="000E340C" w:rsidRPr="00BE33CF">
              <w:rPr>
                <w:rFonts w:ascii="Arial" w:hAnsi="Arial" w:cs="Arial"/>
                <w:lang w:eastAsia="sl-SI"/>
              </w:rPr>
              <w:t xml:space="preserve"> pozdravio direktor Doma zdravlja, nakon čega je </w:t>
            </w:r>
            <w:proofErr w:type="spellStart"/>
            <w:r w:rsidR="000E340C" w:rsidRPr="00BE33CF">
              <w:rPr>
                <w:rFonts w:ascii="Arial" w:hAnsi="Arial" w:cs="Arial"/>
                <w:lang w:eastAsia="sl-SI"/>
              </w:rPr>
              <w:t>usledilo</w:t>
            </w:r>
            <w:proofErr w:type="spellEnd"/>
            <w:r w:rsidR="000E340C" w:rsidRPr="00BE33CF">
              <w:rPr>
                <w:rFonts w:ascii="Arial" w:hAnsi="Arial" w:cs="Arial"/>
                <w:lang w:eastAsia="sl-SI"/>
              </w:rPr>
              <w:t xml:space="preserve"> uvodno predavanje kroz koje su učesnici upoznati sa HEPMP projektom i </w:t>
            </w:r>
            <w:proofErr w:type="spellStart"/>
            <w:r w:rsidR="000E340C" w:rsidRPr="00BE33CF">
              <w:rPr>
                <w:rFonts w:ascii="Arial" w:hAnsi="Arial" w:cs="Arial"/>
                <w:lang w:eastAsia="sl-SI"/>
              </w:rPr>
              <w:t>mogućnostima</w:t>
            </w:r>
            <w:proofErr w:type="spellEnd"/>
            <w:r w:rsidR="000E340C" w:rsidRPr="00BE33CF">
              <w:rPr>
                <w:rFonts w:ascii="Arial" w:hAnsi="Arial" w:cs="Arial"/>
                <w:lang w:eastAsia="sl-SI"/>
              </w:rPr>
              <w:t xml:space="preserve"> edukacije o bolu kroz formalno obrazovanje</w:t>
            </w:r>
            <w:r w:rsidR="005E60BF" w:rsidRPr="00BE33CF">
              <w:rPr>
                <w:rFonts w:ascii="Arial" w:hAnsi="Arial" w:cs="Arial"/>
                <w:lang w:eastAsia="sl-SI"/>
              </w:rPr>
              <w:t xml:space="preserve">, zatim </w:t>
            </w:r>
            <w:proofErr w:type="spellStart"/>
            <w:r w:rsidR="005E60BF" w:rsidRPr="00BE33CF">
              <w:rPr>
                <w:rFonts w:ascii="Arial" w:hAnsi="Arial" w:cs="Arial"/>
                <w:lang w:eastAsia="sl-SI"/>
              </w:rPr>
              <w:t>mogućnostima</w:t>
            </w:r>
            <w:proofErr w:type="spellEnd"/>
            <w:r w:rsidR="005E60BF" w:rsidRPr="00BE33CF">
              <w:rPr>
                <w:rFonts w:ascii="Arial" w:hAnsi="Arial" w:cs="Arial"/>
                <w:lang w:eastAsia="sl-SI"/>
              </w:rPr>
              <w:t xml:space="preserve"> foruma na </w:t>
            </w:r>
            <w:proofErr w:type="spellStart"/>
            <w:r w:rsidR="005E60BF" w:rsidRPr="00BE33CF">
              <w:rPr>
                <w:rFonts w:ascii="Arial" w:hAnsi="Arial" w:cs="Arial"/>
                <w:lang w:eastAsia="sl-SI"/>
              </w:rPr>
              <w:t>sajtu</w:t>
            </w:r>
            <w:proofErr w:type="spellEnd"/>
            <w:r w:rsidR="005E60BF" w:rsidRPr="00BE33CF">
              <w:rPr>
                <w:rFonts w:ascii="Arial" w:hAnsi="Arial" w:cs="Arial"/>
                <w:lang w:eastAsia="sl-SI"/>
              </w:rPr>
              <w:t xml:space="preserve"> </w:t>
            </w:r>
            <w:proofErr w:type="spellStart"/>
            <w:r w:rsidR="005E60BF" w:rsidRPr="00BE33CF">
              <w:rPr>
                <w:rFonts w:ascii="Arial" w:hAnsi="Arial" w:cs="Arial"/>
                <w:lang w:eastAsia="sl-SI"/>
              </w:rPr>
              <w:t>HEPMPa</w:t>
            </w:r>
            <w:proofErr w:type="spellEnd"/>
            <w:r w:rsidR="005E60BF" w:rsidRPr="00BE33CF">
              <w:rPr>
                <w:rFonts w:ascii="Arial" w:hAnsi="Arial" w:cs="Arial"/>
                <w:lang w:eastAsia="sl-SI"/>
              </w:rPr>
              <w:t xml:space="preserve">, a Prof. Stevanović je </w:t>
            </w:r>
            <w:proofErr w:type="spellStart"/>
            <w:r w:rsidR="005E60BF" w:rsidRPr="00BE33CF">
              <w:rPr>
                <w:rFonts w:ascii="Arial" w:hAnsi="Arial" w:cs="Arial"/>
                <w:lang w:eastAsia="sl-SI"/>
              </w:rPr>
              <w:t>podsetio</w:t>
            </w:r>
            <w:proofErr w:type="spellEnd"/>
            <w:r w:rsidR="005E60BF" w:rsidRPr="00BE33CF">
              <w:rPr>
                <w:rFonts w:ascii="Arial" w:hAnsi="Arial" w:cs="Arial"/>
                <w:lang w:eastAsia="sl-SI"/>
              </w:rPr>
              <w:t xml:space="preserve"> da se na </w:t>
            </w:r>
            <w:proofErr w:type="spellStart"/>
            <w:r w:rsidR="005E60BF" w:rsidRPr="00BE33CF">
              <w:rPr>
                <w:rFonts w:ascii="Arial" w:hAnsi="Arial" w:cs="Arial"/>
                <w:lang w:eastAsia="sl-SI"/>
              </w:rPr>
              <w:t>sajtu</w:t>
            </w:r>
            <w:proofErr w:type="spellEnd"/>
            <w:r w:rsidR="005E60BF" w:rsidRPr="00BE33CF">
              <w:rPr>
                <w:rFonts w:ascii="Arial" w:hAnsi="Arial" w:cs="Arial"/>
                <w:lang w:eastAsia="sl-SI"/>
              </w:rPr>
              <w:t xml:space="preserve"> mogu naći i prezentacije, kako sa prethodnog seminara u </w:t>
            </w:r>
            <w:proofErr w:type="spellStart"/>
            <w:r w:rsidR="005E60BF" w:rsidRPr="00BE33CF">
              <w:rPr>
                <w:rFonts w:ascii="Arial" w:hAnsi="Arial" w:cs="Arial"/>
                <w:lang w:eastAsia="sl-SI"/>
              </w:rPr>
              <w:t>Inđiji</w:t>
            </w:r>
            <w:proofErr w:type="spellEnd"/>
            <w:r w:rsidR="005E60BF" w:rsidRPr="00BE33CF">
              <w:rPr>
                <w:rFonts w:ascii="Arial" w:hAnsi="Arial" w:cs="Arial"/>
                <w:lang w:eastAsia="sl-SI"/>
              </w:rPr>
              <w:t>, tako i ostala predavanja i flajeri o bolu.</w:t>
            </w:r>
          </w:p>
          <w:p w:rsidR="0008343D" w:rsidRPr="00BE33CF" w:rsidRDefault="0008343D" w:rsidP="00DB344C">
            <w:pPr>
              <w:spacing w:before="40" w:after="40" w:line="360" w:lineRule="auto"/>
              <w:jc w:val="both"/>
              <w:rPr>
                <w:rFonts w:ascii="Arial" w:hAnsi="Arial" w:cs="Arial"/>
                <w:lang w:eastAsia="sl-SI"/>
              </w:rPr>
            </w:pPr>
            <w:r w:rsidRPr="00BE33CF">
              <w:rPr>
                <w:rFonts w:ascii="Arial" w:hAnsi="Arial" w:cs="Arial"/>
                <w:lang w:eastAsia="sl-SI"/>
              </w:rPr>
              <w:t xml:space="preserve">Bol je definisan od strane Međunarodne Asocijacije za Proučavanje Bola (IASP) kao “neprijatno senzorno i emocionalno iskustvo udruženo sa aktuelnim ili potencijalnim tkivnim oštećenjem ili opisom takvog oštećenja”. </w:t>
            </w:r>
          </w:p>
          <w:p w:rsidR="0008343D" w:rsidRPr="00BE33CF" w:rsidRDefault="000E340C" w:rsidP="00DB344C">
            <w:pPr>
              <w:spacing w:before="40" w:after="40" w:line="360" w:lineRule="auto"/>
              <w:jc w:val="both"/>
              <w:rPr>
                <w:rFonts w:ascii="Arial" w:hAnsi="Arial" w:cs="Arial"/>
                <w:lang w:eastAsia="sl-SI"/>
              </w:rPr>
            </w:pPr>
            <w:r w:rsidRPr="00BE33CF">
              <w:rPr>
                <w:rFonts w:ascii="Arial" w:hAnsi="Arial" w:cs="Arial"/>
                <w:lang w:eastAsia="sl-SI"/>
              </w:rPr>
              <w:t xml:space="preserve">U uvodnom </w:t>
            </w:r>
            <w:proofErr w:type="spellStart"/>
            <w:r w:rsidRPr="00BE33CF">
              <w:rPr>
                <w:rFonts w:ascii="Arial" w:hAnsi="Arial" w:cs="Arial"/>
                <w:lang w:eastAsia="sl-SI"/>
              </w:rPr>
              <w:t>obraćanju</w:t>
            </w:r>
            <w:proofErr w:type="spellEnd"/>
            <w:r w:rsidRPr="00BE33CF">
              <w:rPr>
                <w:rFonts w:ascii="Arial" w:hAnsi="Arial" w:cs="Arial"/>
                <w:lang w:eastAsia="sl-SI"/>
              </w:rPr>
              <w:t xml:space="preserve">, </w:t>
            </w:r>
            <w:r w:rsidR="005E60BF" w:rsidRPr="00BE33CF">
              <w:rPr>
                <w:rFonts w:ascii="Arial" w:hAnsi="Arial" w:cs="Arial"/>
                <w:lang w:eastAsia="sl-SI"/>
              </w:rPr>
              <w:t xml:space="preserve">koordinator projekta je </w:t>
            </w:r>
            <w:proofErr w:type="spellStart"/>
            <w:r w:rsidR="005E60BF" w:rsidRPr="00BE33CF">
              <w:rPr>
                <w:rFonts w:ascii="Arial" w:hAnsi="Arial" w:cs="Arial"/>
                <w:lang w:eastAsia="sl-SI"/>
              </w:rPr>
              <w:t>podsetio</w:t>
            </w:r>
            <w:proofErr w:type="spellEnd"/>
            <w:r w:rsidR="005E60BF" w:rsidRPr="00BE33CF">
              <w:rPr>
                <w:rFonts w:ascii="Arial" w:hAnsi="Arial" w:cs="Arial"/>
                <w:lang w:eastAsia="sl-SI"/>
              </w:rPr>
              <w:t xml:space="preserve"> učesnike da u trenutku kada se utvrdi dijagnoza maligne bolesti oko 30-40% pacijenta ima prisutan bol kao simptom. U odmakloj fazi bolesti približno 70–80% onkoloških bolesnika </w:t>
            </w:r>
            <w:proofErr w:type="spellStart"/>
            <w:r w:rsidR="005E60BF" w:rsidRPr="00BE33CF">
              <w:rPr>
                <w:rFonts w:ascii="Arial" w:hAnsi="Arial" w:cs="Arial"/>
                <w:lang w:eastAsia="sl-SI"/>
              </w:rPr>
              <w:t>oseća</w:t>
            </w:r>
            <w:proofErr w:type="spellEnd"/>
            <w:r w:rsidR="005E60BF" w:rsidRPr="00BE33CF">
              <w:rPr>
                <w:rFonts w:ascii="Arial" w:hAnsi="Arial" w:cs="Arial"/>
                <w:lang w:eastAsia="sl-SI"/>
              </w:rPr>
              <w:t xml:space="preserve"> bolove, što znači da oko 12–13 miliona ljudi pati od hroničnog kancerskog bola, imajući u vidu </w:t>
            </w:r>
            <w:proofErr w:type="spellStart"/>
            <w:r w:rsidR="005E60BF" w:rsidRPr="00BE33CF">
              <w:rPr>
                <w:rFonts w:ascii="Arial" w:hAnsi="Arial" w:cs="Arial"/>
                <w:lang w:eastAsia="sl-SI"/>
              </w:rPr>
              <w:t>procenu</w:t>
            </w:r>
            <w:proofErr w:type="spellEnd"/>
            <w:r w:rsidR="005E60BF" w:rsidRPr="00BE33CF">
              <w:rPr>
                <w:rFonts w:ascii="Arial" w:hAnsi="Arial" w:cs="Arial"/>
                <w:lang w:eastAsia="sl-SI"/>
              </w:rPr>
              <w:t xml:space="preserve"> Svetske zdravstvene organizacije (SZO) da oko 17 miliona ljudi u svetu boluje od malignih bolesti. Stoga je prvi </w:t>
            </w:r>
            <w:proofErr w:type="spellStart"/>
            <w:r w:rsidR="005E60BF" w:rsidRPr="00BE33CF">
              <w:rPr>
                <w:rFonts w:ascii="Arial" w:hAnsi="Arial" w:cs="Arial"/>
                <w:lang w:eastAsia="sl-SI"/>
              </w:rPr>
              <w:t>predavač</w:t>
            </w:r>
            <w:proofErr w:type="spellEnd"/>
            <w:r w:rsidR="005E60BF" w:rsidRPr="00BE33CF">
              <w:rPr>
                <w:rFonts w:ascii="Arial" w:hAnsi="Arial" w:cs="Arial"/>
                <w:lang w:eastAsia="sl-SI"/>
              </w:rPr>
              <w:t xml:space="preserve">, Prof. </w:t>
            </w:r>
            <w:proofErr w:type="spellStart"/>
            <w:r w:rsidR="005E60BF" w:rsidRPr="00BE33CF">
              <w:rPr>
                <w:rFonts w:ascii="Arial" w:hAnsi="Arial" w:cs="Arial"/>
                <w:lang w:eastAsia="sl-SI"/>
              </w:rPr>
              <w:t>Palibrk</w:t>
            </w:r>
            <w:proofErr w:type="spellEnd"/>
            <w:r w:rsidR="00CB0ECE" w:rsidRPr="00BE33CF">
              <w:rPr>
                <w:rFonts w:ascii="Arial" w:hAnsi="Arial" w:cs="Arial"/>
                <w:lang w:eastAsia="sl-SI"/>
              </w:rPr>
              <w:t xml:space="preserve"> naglasio da </w:t>
            </w:r>
            <w:proofErr w:type="spellStart"/>
            <w:r w:rsidR="00CB0ECE" w:rsidRPr="00BE33CF">
              <w:rPr>
                <w:rFonts w:ascii="Arial" w:hAnsi="Arial" w:cs="Arial"/>
                <w:lang w:eastAsia="sl-SI"/>
              </w:rPr>
              <w:t>lečenje</w:t>
            </w:r>
            <w:proofErr w:type="spellEnd"/>
            <w:r w:rsidR="00CB0ECE" w:rsidRPr="00BE33CF">
              <w:rPr>
                <w:rFonts w:ascii="Arial" w:hAnsi="Arial" w:cs="Arial"/>
                <w:lang w:eastAsia="sl-SI"/>
              </w:rPr>
              <w:t xml:space="preserve"> bola mora započeti odgovarajućom </w:t>
            </w:r>
            <w:proofErr w:type="spellStart"/>
            <w:r w:rsidR="00CB0ECE" w:rsidRPr="00BE33CF">
              <w:rPr>
                <w:rFonts w:ascii="Arial" w:hAnsi="Arial" w:cs="Arial"/>
                <w:lang w:eastAsia="sl-SI"/>
              </w:rPr>
              <w:t>procenom</w:t>
            </w:r>
            <w:proofErr w:type="spellEnd"/>
            <w:r w:rsidR="00CB0ECE" w:rsidRPr="00BE33CF">
              <w:rPr>
                <w:rFonts w:ascii="Arial" w:hAnsi="Arial" w:cs="Arial"/>
                <w:lang w:eastAsia="sl-SI"/>
              </w:rPr>
              <w:t xml:space="preserve"> bola koja čini osnovu za kvalitetno </w:t>
            </w:r>
            <w:proofErr w:type="spellStart"/>
            <w:r w:rsidR="00CB0ECE" w:rsidRPr="00BE33CF">
              <w:rPr>
                <w:rFonts w:ascii="Arial" w:hAnsi="Arial" w:cs="Arial"/>
                <w:lang w:eastAsia="sl-SI"/>
              </w:rPr>
              <w:t>lečenje</w:t>
            </w:r>
            <w:proofErr w:type="spellEnd"/>
            <w:r w:rsidR="00CB0ECE" w:rsidRPr="00BE33CF">
              <w:rPr>
                <w:rFonts w:ascii="Arial" w:hAnsi="Arial" w:cs="Arial"/>
                <w:lang w:eastAsia="sl-SI"/>
              </w:rPr>
              <w:t xml:space="preserve">. Tek posle kompletne </w:t>
            </w:r>
            <w:proofErr w:type="spellStart"/>
            <w:r w:rsidR="00CB0ECE" w:rsidRPr="00BE33CF">
              <w:rPr>
                <w:rFonts w:ascii="Arial" w:hAnsi="Arial" w:cs="Arial"/>
                <w:lang w:eastAsia="sl-SI"/>
              </w:rPr>
              <w:t>procene</w:t>
            </w:r>
            <w:proofErr w:type="spellEnd"/>
            <w:r w:rsidR="00CB0ECE" w:rsidRPr="00BE33CF">
              <w:rPr>
                <w:rFonts w:ascii="Arial" w:hAnsi="Arial" w:cs="Arial"/>
                <w:lang w:eastAsia="sl-SI"/>
              </w:rPr>
              <w:t xml:space="preserve"> u stanju smo da definišemo bolni sindrom i ponudimo odgovarajuću terapiju. Kako je bol subjektivni fenomen, jedno od osnovnih pravila je da moramo </w:t>
            </w:r>
            <w:proofErr w:type="spellStart"/>
            <w:r w:rsidR="00CB0ECE" w:rsidRPr="00BE33CF">
              <w:rPr>
                <w:rFonts w:ascii="Arial" w:hAnsi="Arial" w:cs="Arial"/>
                <w:lang w:eastAsia="sl-SI"/>
              </w:rPr>
              <w:t>verovati</w:t>
            </w:r>
            <w:proofErr w:type="spellEnd"/>
            <w:r w:rsidR="00CB0ECE" w:rsidRPr="00BE33CF">
              <w:rPr>
                <w:rFonts w:ascii="Arial" w:hAnsi="Arial" w:cs="Arial"/>
                <w:lang w:eastAsia="sl-SI"/>
              </w:rPr>
              <w:t xml:space="preserve"> pacijentu koji </w:t>
            </w:r>
            <w:proofErr w:type="spellStart"/>
            <w:r w:rsidR="00CB0ECE" w:rsidRPr="00BE33CF">
              <w:rPr>
                <w:rFonts w:ascii="Arial" w:hAnsi="Arial" w:cs="Arial"/>
                <w:lang w:eastAsia="sl-SI"/>
              </w:rPr>
              <w:t>procenjuje</w:t>
            </w:r>
            <w:proofErr w:type="spellEnd"/>
            <w:r w:rsidR="00CB0ECE" w:rsidRPr="00BE33CF">
              <w:rPr>
                <w:rFonts w:ascii="Arial" w:hAnsi="Arial" w:cs="Arial"/>
                <w:lang w:eastAsia="sl-SI"/>
              </w:rPr>
              <w:t xml:space="preserve"> jačinu bola koji </w:t>
            </w:r>
            <w:proofErr w:type="spellStart"/>
            <w:r w:rsidR="00CB0ECE" w:rsidRPr="00BE33CF">
              <w:rPr>
                <w:rFonts w:ascii="Arial" w:hAnsi="Arial" w:cs="Arial"/>
                <w:lang w:eastAsia="sl-SI"/>
              </w:rPr>
              <w:t>oseća</w:t>
            </w:r>
            <w:proofErr w:type="spellEnd"/>
            <w:r w:rsidR="00CB0ECE" w:rsidRPr="00BE33CF">
              <w:rPr>
                <w:rFonts w:ascii="Arial" w:hAnsi="Arial" w:cs="Arial"/>
                <w:lang w:eastAsia="sl-SI"/>
              </w:rPr>
              <w:t xml:space="preserve">. Prof. </w:t>
            </w:r>
            <w:proofErr w:type="spellStart"/>
            <w:r w:rsidR="00CB0ECE" w:rsidRPr="00BE33CF">
              <w:rPr>
                <w:rFonts w:ascii="Arial" w:hAnsi="Arial" w:cs="Arial"/>
                <w:lang w:eastAsia="sl-SI"/>
              </w:rPr>
              <w:t>Lađević</w:t>
            </w:r>
            <w:proofErr w:type="spellEnd"/>
            <w:r w:rsidR="00CB0ECE" w:rsidRPr="00BE33CF">
              <w:rPr>
                <w:rFonts w:ascii="Arial" w:hAnsi="Arial" w:cs="Arial"/>
                <w:lang w:eastAsia="sl-SI"/>
              </w:rPr>
              <w:t xml:space="preserve"> je u narednom predavanju učesnike upoznao sa principima terapije kancerskog </w:t>
            </w:r>
            <w:proofErr w:type="spellStart"/>
            <w:r w:rsidR="00CB0ECE" w:rsidRPr="00BE33CF">
              <w:rPr>
                <w:rFonts w:ascii="Arial" w:hAnsi="Arial" w:cs="Arial"/>
                <w:lang w:eastAsia="sl-SI"/>
              </w:rPr>
              <w:t>bolla</w:t>
            </w:r>
            <w:proofErr w:type="spellEnd"/>
            <w:r w:rsidR="00CB0ECE" w:rsidRPr="00BE33CF">
              <w:rPr>
                <w:rFonts w:ascii="Arial" w:hAnsi="Arial" w:cs="Arial"/>
                <w:lang w:eastAsia="sl-SI"/>
              </w:rPr>
              <w:t xml:space="preserve">, sa posebnim fokusom na </w:t>
            </w:r>
            <w:proofErr w:type="spellStart"/>
            <w:r w:rsidR="00CB0ECE" w:rsidRPr="00BE33CF">
              <w:rPr>
                <w:rFonts w:ascii="Arial" w:hAnsi="Arial" w:cs="Arial"/>
                <w:lang w:eastAsia="sl-SI"/>
              </w:rPr>
              <w:t>opioide</w:t>
            </w:r>
            <w:proofErr w:type="spellEnd"/>
            <w:r w:rsidR="00CB0ECE" w:rsidRPr="00BE33CF">
              <w:rPr>
                <w:rFonts w:ascii="Arial" w:hAnsi="Arial" w:cs="Arial"/>
                <w:lang w:eastAsia="sl-SI"/>
              </w:rPr>
              <w:t xml:space="preserve">. Predstavljen je princip „stepenica“ </w:t>
            </w:r>
            <w:r w:rsidR="004C7EF3">
              <w:rPr>
                <w:rFonts w:ascii="Arial" w:hAnsi="Arial" w:cs="Arial"/>
                <w:lang w:eastAsia="sl-SI"/>
              </w:rPr>
              <w:t xml:space="preserve">SZO </w:t>
            </w:r>
            <w:r w:rsidR="00CB0ECE" w:rsidRPr="00BE33CF">
              <w:rPr>
                <w:rFonts w:ascii="Arial" w:hAnsi="Arial" w:cs="Arial"/>
                <w:lang w:eastAsia="sl-SI"/>
              </w:rPr>
              <w:t xml:space="preserve">prilikom terapije bola, ali i istaknuta neželjena dejstva </w:t>
            </w:r>
            <w:proofErr w:type="spellStart"/>
            <w:r w:rsidR="00CB0ECE" w:rsidRPr="00BE33CF">
              <w:rPr>
                <w:rFonts w:ascii="Arial" w:hAnsi="Arial" w:cs="Arial"/>
                <w:lang w:eastAsia="sl-SI"/>
              </w:rPr>
              <w:t>opioida</w:t>
            </w:r>
            <w:proofErr w:type="spellEnd"/>
            <w:r w:rsidR="00CB0ECE" w:rsidRPr="00BE33CF">
              <w:rPr>
                <w:rFonts w:ascii="Arial" w:hAnsi="Arial" w:cs="Arial"/>
                <w:lang w:eastAsia="sl-SI"/>
              </w:rPr>
              <w:t xml:space="preserve">. Naredno predavanje Prof. Stevanovića </w:t>
            </w:r>
            <w:proofErr w:type="spellStart"/>
            <w:r w:rsidR="00CB0ECE" w:rsidRPr="00BE33CF">
              <w:rPr>
                <w:rFonts w:ascii="Arial" w:hAnsi="Arial" w:cs="Arial"/>
                <w:lang w:eastAsia="sl-SI"/>
              </w:rPr>
              <w:t>podrazumevalo</w:t>
            </w:r>
            <w:proofErr w:type="spellEnd"/>
            <w:r w:rsidR="00CB0ECE" w:rsidRPr="00BE33CF">
              <w:rPr>
                <w:rFonts w:ascii="Arial" w:hAnsi="Arial" w:cs="Arial"/>
                <w:lang w:eastAsia="sl-SI"/>
              </w:rPr>
              <w:t xml:space="preserve"> je interaktivnu diskusiju i </w:t>
            </w:r>
            <w:proofErr w:type="spellStart"/>
            <w:r w:rsidR="00CB0ECE" w:rsidRPr="00BE33CF">
              <w:rPr>
                <w:rFonts w:ascii="Arial" w:hAnsi="Arial" w:cs="Arial"/>
                <w:lang w:eastAsia="sl-SI"/>
              </w:rPr>
              <w:t>rešavanje</w:t>
            </w:r>
            <w:proofErr w:type="spellEnd"/>
            <w:r w:rsidR="00CB0ECE" w:rsidRPr="00BE33CF">
              <w:rPr>
                <w:rFonts w:ascii="Arial" w:hAnsi="Arial" w:cs="Arial"/>
                <w:lang w:eastAsia="sl-SI"/>
              </w:rPr>
              <w:t xml:space="preserve"> kliničkog problema. Naime, učesnici su kroz prikaz slučaja, putem android aplikacije na mobilnim telefonima, odgovarali na pitanja o </w:t>
            </w:r>
            <w:proofErr w:type="spellStart"/>
            <w:r w:rsidR="00CB0ECE" w:rsidRPr="00BE33CF">
              <w:rPr>
                <w:rFonts w:ascii="Arial" w:hAnsi="Arial" w:cs="Arial"/>
                <w:lang w:eastAsia="sl-SI"/>
              </w:rPr>
              <w:t>rešavanju</w:t>
            </w:r>
            <w:proofErr w:type="spellEnd"/>
            <w:r w:rsidR="00CB0ECE" w:rsidRPr="00BE33CF">
              <w:rPr>
                <w:rFonts w:ascii="Arial" w:hAnsi="Arial" w:cs="Arial"/>
                <w:lang w:eastAsia="sl-SI"/>
              </w:rPr>
              <w:t xml:space="preserve"> problema malignog bola. Ovaj segment kursa bio je izuzetno interesantan polaznicima koji su aktivno učestvovali u biranju i doziranju adekvatne terapije </w:t>
            </w:r>
            <w:proofErr w:type="spellStart"/>
            <w:r w:rsidR="00CB0ECE" w:rsidRPr="00BE33CF">
              <w:rPr>
                <w:rFonts w:ascii="Arial" w:hAnsi="Arial" w:cs="Arial"/>
                <w:lang w:eastAsia="sl-SI"/>
              </w:rPr>
              <w:t>primerene</w:t>
            </w:r>
            <w:proofErr w:type="spellEnd"/>
            <w:r w:rsidR="00CB0ECE" w:rsidRPr="00BE33CF">
              <w:rPr>
                <w:rFonts w:ascii="Arial" w:hAnsi="Arial" w:cs="Arial"/>
                <w:lang w:eastAsia="sl-SI"/>
              </w:rPr>
              <w:t xml:space="preserve"> </w:t>
            </w:r>
            <w:proofErr w:type="spellStart"/>
            <w:r w:rsidR="00CB0ECE" w:rsidRPr="00BE33CF">
              <w:rPr>
                <w:rFonts w:ascii="Arial" w:hAnsi="Arial" w:cs="Arial"/>
                <w:lang w:eastAsia="sl-SI"/>
              </w:rPr>
              <w:t>zadatom</w:t>
            </w:r>
            <w:proofErr w:type="spellEnd"/>
            <w:r w:rsidR="00CB0ECE" w:rsidRPr="00BE33CF">
              <w:rPr>
                <w:rFonts w:ascii="Arial" w:hAnsi="Arial" w:cs="Arial"/>
                <w:lang w:eastAsia="sl-SI"/>
              </w:rPr>
              <w:t xml:space="preserve"> pacijentu. Prof. Jović je zatim, u narednom predavanju, predstavio</w:t>
            </w:r>
            <w:r w:rsidR="0008343D" w:rsidRPr="00BE33CF">
              <w:rPr>
                <w:rFonts w:ascii="Arial" w:hAnsi="Arial" w:cs="Arial"/>
                <w:lang w:eastAsia="sl-SI"/>
              </w:rPr>
              <w:t xml:space="preserve"> moderne načine davanja analgetika sa posebnim akcentom na PCA. Kroz poslednje predavanje, Prof. Nešić je polaznike kursa upoznao sa </w:t>
            </w:r>
            <w:proofErr w:type="spellStart"/>
            <w:r w:rsidR="0008343D" w:rsidRPr="00BE33CF">
              <w:rPr>
                <w:rFonts w:ascii="Arial" w:hAnsi="Arial" w:cs="Arial"/>
                <w:lang w:eastAsia="sl-SI"/>
              </w:rPr>
              <w:t>lečenjem</w:t>
            </w:r>
            <w:proofErr w:type="spellEnd"/>
            <w:r w:rsidR="0008343D" w:rsidRPr="00BE33CF">
              <w:rPr>
                <w:rFonts w:ascii="Arial" w:hAnsi="Arial" w:cs="Arial"/>
                <w:lang w:eastAsia="sl-SI"/>
              </w:rPr>
              <w:t xml:space="preserve"> bola kod starih osoba, imajući u vidu multidisciplinarnost tima koji učestvuje u terapiji, ali </w:t>
            </w:r>
            <w:r w:rsidR="004456A8">
              <w:rPr>
                <w:rFonts w:ascii="Arial" w:hAnsi="Arial" w:cs="Arial"/>
                <w:lang w:eastAsia="sl-SI"/>
              </w:rPr>
              <w:t xml:space="preserve">i neretko, socijalne i </w:t>
            </w:r>
            <w:r w:rsidR="004456A8">
              <w:rPr>
                <w:rFonts w:ascii="Arial" w:hAnsi="Arial" w:cs="Arial"/>
                <w:lang w:eastAsia="sl-SI"/>
              </w:rPr>
              <w:lastRenderedPageBreak/>
              <w:t>demografske</w:t>
            </w:r>
            <w:r w:rsidR="0008343D" w:rsidRPr="00BE33CF">
              <w:rPr>
                <w:rFonts w:ascii="Arial" w:hAnsi="Arial" w:cs="Arial"/>
                <w:lang w:eastAsia="sl-SI"/>
              </w:rPr>
              <w:t xml:space="preserve"> aspekte ovog problema. </w:t>
            </w:r>
          </w:p>
          <w:p w:rsidR="00EC22B3" w:rsidRPr="00BE33CF" w:rsidRDefault="00EC22B3" w:rsidP="00DB344C">
            <w:pPr>
              <w:spacing w:before="40" w:after="40" w:line="360" w:lineRule="auto"/>
              <w:jc w:val="both"/>
              <w:rPr>
                <w:rFonts w:ascii="Arial" w:hAnsi="Arial" w:cs="Arial"/>
                <w:lang w:eastAsia="sl-SI"/>
              </w:rPr>
            </w:pPr>
            <w:r w:rsidRPr="00BE33CF">
              <w:rPr>
                <w:rFonts w:ascii="Arial" w:hAnsi="Arial" w:cs="Arial"/>
                <w:lang w:eastAsia="sl-SI"/>
              </w:rPr>
              <w:t xml:space="preserve">Potrebno je naglasiti je da se danas smatra pravom pacijenta i obavezom zdravstvenih radnika da se bol </w:t>
            </w:r>
            <w:proofErr w:type="spellStart"/>
            <w:r w:rsidRPr="00BE33CF">
              <w:rPr>
                <w:rFonts w:ascii="Arial" w:hAnsi="Arial" w:cs="Arial"/>
                <w:lang w:eastAsia="sl-SI"/>
              </w:rPr>
              <w:t>posmatra</w:t>
            </w:r>
            <w:proofErr w:type="spellEnd"/>
            <w:r w:rsidRPr="00BE33CF">
              <w:rPr>
                <w:rFonts w:ascii="Arial" w:hAnsi="Arial" w:cs="Arial"/>
                <w:lang w:eastAsia="sl-SI"/>
              </w:rPr>
              <w:t xml:space="preserve"> kao „peti vitalni znak“. </w:t>
            </w:r>
          </w:p>
          <w:p w:rsidR="00EC22B3" w:rsidRPr="00BE33CF" w:rsidRDefault="00EC22B3" w:rsidP="00DB344C">
            <w:pPr>
              <w:spacing w:before="40" w:after="40" w:line="360" w:lineRule="auto"/>
              <w:jc w:val="both"/>
              <w:rPr>
                <w:rFonts w:ascii="Arial" w:hAnsi="Arial" w:cs="Arial"/>
                <w:lang w:eastAsia="sl-SI"/>
              </w:rPr>
            </w:pPr>
            <w:r w:rsidRPr="00BE33CF">
              <w:rPr>
                <w:rFonts w:ascii="Arial" w:hAnsi="Arial" w:cs="Arial"/>
                <w:lang w:eastAsia="sl-SI"/>
              </w:rPr>
              <w:t xml:space="preserve">Treba jasno razlikovati terapiju akutnog od terapije hroničnog bola. </w:t>
            </w:r>
            <w:proofErr w:type="spellStart"/>
            <w:r w:rsidRPr="00BE33CF">
              <w:rPr>
                <w:rFonts w:ascii="Arial" w:hAnsi="Arial" w:cs="Arial"/>
                <w:lang w:eastAsia="sl-SI"/>
              </w:rPr>
              <w:t>Zahvaljući</w:t>
            </w:r>
            <w:proofErr w:type="spellEnd"/>
            <w:r w:rsidRPr="00BE33CF">
              <w:rPr>
                <w:rFonts w:ascii="Arial" w:hAnsi="Arial" w:cs="Arial"/>
                <w:lang w:eastAsia="sl-SI"/>
              </w:rPr>
              <w:t xml:space="preserve"> odlikama akutnog bola i modernim farmakološkim sredstvima, lakše ga je </w:t>
            </w:r>
            <w:proofErr w:type="spellStart"/>
            <w:r w:rsidRPr="00BE33CF">
              <w:rPr>
                <w:rFonts w:ascii="Arial" w:hAnsi="Arial" w:cs="Arial"/>
                <w:lang w:eastAsia="sl-SI"/>
              </w:rPr>
              <w:t>lečiti</w:t>
            </w:r>
            <w:proofErr w:type="spellEnd"/>
            <w:r w:rsidRPr="00BE33CF">
              <w:rPr>
                <w:rFonts w:ascii="Arial" w:hAnsi="Arial" w:cs="Arial"/>
                <w:lang w:eastAsia="sl-SI"/>
              </w:rPr>
              <w:t xml:space="preserve"> od hroničnog bola. </w:t>
            </w:r>
          </w:p>
          <w:p w:rsidR="00EC22B3" w:rsidRPr="00BE33CF" w:rsidRDefault="00EC22B3" w:rsidP="00DB344C">
            <w:pPr>
              <w:spacing w:before="40" w:after="40" w:line="360" w:lineRule="auto"/>
              <w:jc w:val="both"/>
              <w:rPr>
                <w:rFonts w:ascii="Arial" w:hAnsi="Arial" w:cs="Arial"/>
                <w:lang w:eastAsia="sl-SI"/>
              </w:rPr>
            </w:pPr>
            <w:r w:rsidRPr="00BE33CF">
              <w:rPr>
                <w:rFonts w:ascii="Arial" w:hAnsi="Arial" w:cs="Arial"/>
                <w:lang w:eastAsia="sl-SI"/>
              </w:rPr>
              <w:t xml:space="preserve">Pored dokazane efikasnosti u </w:t>
            </w:r>
            <w:proofErr w:type="spellStart"/>
            <w:r w:rsidRPr="00BE33CF">
              <w:rPr>
                <w:rFonts w:ascii="Arial" w:hAnsi="Arial" w:cs="Arial"/>
                <w:lang w:eastAsia="sl-SI"/>
              </w:rPr>
              <w:t>lečenju</w:t>
            </w:r>
            <w:proofErr w:type="spellEnd"/>
            <w:r w:rsidRPr="00BE33CF">
              <w:rPr>
                <w:rFonts w:ascii="Arial" w:hAnsi="Arial" w:cs="Arial"/>
                <w:lang w:eastAsia="sl-SI"/>
              </w:rPr>
              <w:t xml:space="preserve"> akutnog bola često, sa današnjim znanjem i terapijskim </w:t>
            </w:r>
            <w:proofErr w:type="spellStart"/>
            <w:r w:rsidRPr="00BE33CF">
              <w:rPr>
                <w:rFonts w:ascii="Arial" w:hAnsi="Arial" w:cs="Arial"/>
                <w:lang w:eastAsia="sl-SI"/>
              </w:rPr>
              <w:t>merama</w:t>
            </w:r>
            <w:proofErr w:type="spellEnd"/>
            <w:r w:rsidRPr="00BE33CF">
              <w:rPr>
                <w:rFonts w:ascii="Arial" w:hAnsi="Arial" w:cs="Arial"/>
                <w:lang w:eastAsia="sl-SI"/>
              </w:rPr>
              <w:t xml:space="preserve">, nema zadovoljavajućeg </w:t>
            </w:r>
            <w:proofErr w:type="spellStart"/>
            <w:r w:rsidRPr="00BE33CF">
              <w:rPr>
                <w:rFonts w:ascii="Arial" w:hAnsi="Arial" w:cs="Arial"/>
                <w:lang w:eastAsia="sl-SI"/>
              </w:rPr>
              <w:t>uspeha</w:t>
            </w:r>
            <w:proofErr w:type="spellEnd"/>
            <w:r w:rsidRPr="00BE33CF">
              <w:rPr>
                <w:rFonts w:ascii="Arial" w:hAnsi="Arial" w:cs="Arial"/>
                <w:lang w:eastAsia="sl-SI"/>
              </w:rPr>
              <w:t xml:space="preserve"> u tretmanu hroničnog bola. Akutni bol vremenom slabi (sa ozdravljenjem), dok se hronični  vremenom </w:t>
            </w:r>
            <w:proofErr w:type="spellStart"/>
            <w:r w:rsidRPr="00BE33CF">
              <w:rPr>
                <w:rFonts w:ascii="Arial" w:hAnsi="Arial" w:cs="Arial"/>
                <w:lang w:eastAsia="sl-SI"/>
              </w:rPr>
              <w:t>održava</w:t>
            </w:r>
            <w:proofErr w:type="spellEnd"/>
            <w:r w:rsidRPr="00BE33CF">
              <w:rPr>
                <w:rFonts w:ascii="Arial" w:hAnsi="Arial" w:cs="Arial"/>
                <w:lang w:eastAsia="sl-SI"/>
              </w:rPr>
              <w:t xml:space="preserve"> ili čak i</w:t>
            </w:r>
            <w:r w:rsidR="004C7EF3">
              <w:rPr>
                <w:rFonts w:ascii="Arial" w:hAnsi="Arial" w:cs="Arial"/>
                <w:lang w:eastAsia="sl-SI"/>
              </w:rPr>
              <w:t xml:space="preserve"> </w:t>
            </w:r>
            <w:proofErr w:type="spellStart"/>
            <w:r w:rsidR="004C7EF3">
              <w:rPr>
                <w:rFonts w:ascii="Arial" w:hAnsi="Arial" w:cs="Arial"/>
                <w:lang w:eastAsia="sl-SI"/>
              </w:rPr>
              <w:t>pojačava</w:t>
            </w:r>
            <w:proofErr w:type="spellEnd"/>
            <w:r w:rsidR="004C7EF3">
              <w:rPr>
                <w:rFonts w:ascii="Arial" w:hAnsi="Arial" w:cs="Arial"/>
                <w:lang w:eastAsia="sl-SI"/>
              </w:rPr>
              <w:t xml:space="preserve"> ili pak recidivira s </w:t>
            </w:r>
            <w:r w:rsidRPr="00BE33CF">
              <w:rPr>
                <w:rFonts w:ascii="Arial" w:hAnsi="Arial" w:cs="Arial"/>
                <w:lang w:eastAsia="sl-SI"/>
              </w:rPr>
              <w:t>vremena na vreme.</w:t>
            </w:r>
          </w:p>
          <w:p w:rsidR="0008343D" w:rsidRPr="00BE33CF" w:rsidRDefault="004C7EF3" w:rsidP="00DB344C">
            <w:pPr>
              <w:spacing w:before="40" w:after="40" w:line="360" w:lineRule="auto"/>
              <w:jc w:val="both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T</w:t>
            </w:r>
            <w:r w:rsidR="0008343D" w:rsidRPr="00BE33CF">
              <w:rPr>
                <w:rFonts w:ascii="Arial" w:hAnsi="Arial" w:cs="Arial"/>
                <w:lang w:eastAsia="sl-SI"/>
              </w:rPr>
              <w:t xml:space="preserve">reba imati na umu da jak bol koji </w:t>
            </w:r>
            <w:proofErr w:type="spellStart"/>
            <w:r w:rsidR="0008343D" w:rsidRPr="00BE33CF">
              <w:rPr>
                <w:rFonts w:ascii="Arial" w:hAnsi="Arial" w:cs="Arial"/>
                <w:lang w:eastAsia="sl-SI"/>
              </w:rPr>
              <w:t>osećaju</w:t>
            </w:r>
            <w:proofErr w:type="spellEnd"/>
            <w:r w:rsidR="0008343D" w:rsidRPr="00BE33CF">
              <w:rPr>
                <w:rFonts w:ascii="Arial" w:hAnsi="Arial" w:cs="Arial"/>
                <w:lang w:eastAsia="sl-SI"/>
              </w:rPr>
              <w:t xml:space="preserve"> pacijenti, utiče i na članove njihovih porodica i </w:t>
            </w:r>
            <w:r>
              <w:rPr>
                <w:rFonts w:ascii="Arial" w:hAnsi="Arial" w:cs="Arial"/>
                <w:lang w:eastAsia="sl-SI"/>
              </w:rPr>
              <w:t xml:space="preserve">na druge ljude iz njihovog </w:t>
            </w:r>
            <w:proofErr w:type="spellStart"/>
            <w:r>
              <w:rPr>
                <w:rFonts w:ascii="Arial" w:hAnsi="Arial" w:cs="Arial"/>
                <w:lang w:eastAsia="sl-SI"/>
              </w:rPr>
              <w:t>okruž</w:t>
            </w:r>
            <w:r w:rsidR="0008343D" w:rsidRPr="00BE33CF">
              <w:rPr>
                <w:rFonts w:ascii="Arial" w:hAnsi="Arial" w:cs="Arial"/>
                <w:lang w:eastAsia="sl-SI"/>
              </w:rPr>
              <w:t>enja</w:t>
            </w:r>
            <w:proofErr w:type="spellEnd"/>
            <w:r w:rsidR="0008343D" w:rsidRPr="00BE33CF">
              <w:rPr>
                <w:rFonts w:ascii="Arial" w:hAnsi="Arial" w:cs="Arial"/>
                <w:lang w:eastAsia="sl-SI"/>
              </w:rPr>
              <w:t xml:space="preserve">. Stoga je jasno da </w:t>
            </w:r>
            <w:proofErr w:type="spellStart"/>
            <w:r w:rsidR="0008343D" w:rsidRPr="00BE33CF">
              <w:rPr>
                <w:rFonts w:ascii="Arial" w:hAnsi="Arial" w:cs="Arial"/>
                <w:lang w:eastAsia="sl-SI"/>
              </w:rPr>
              <w:t>lečenje</w:t>
            </w:r>
            <w:proofErr w:type="spellEnd"/>
            <w:r w:rsidR="0008343D" w:rsidRPr="00BE33CF">
              <w:rPr>
                <w:rFonts w:ascii="Arial" w:hAnsi="Arial" w:cs="Arial"/>
                <w:lang w:eastAsia="sl-SI"/>
              </w:rPr>
              <w:t xml:space="preserve"> bola predstavlja jedan od osnovnih problema i imperativa u današnjoj medicini.</w:t>
            </w:r>
          </w:p>
          <w:p w:rsidR="0008343D" w:rsidRPr="00BE33CF" w:rsidRDefault="0008343D" w:rsidP="00DB344C">
            <w:pPr>
              <w:spacing w:before="40" w:after="40" w:line="360" w:lineRule="auto"/>
              <w:jc w:val="both"/>
              <w:rPr>
                <w:rFonts w:ascii="Arial" w:hAnsi="Arial" w:cs="Arial"/>
                <w:lang w:eastAsia="sl-SI"/>
              </w:rPr>
            </w:pPr>
            <w:r w:rsidRPr="00BE33CF">
              <w:rPr>
                <w:rFonts w:ascii="Arial" w:hAnsi="Arial" w:cs="Arial"/>
                <w:lang w:eastAsia="sl-SI"/>
              </w:rPr>
              <w:t>Kontrola bolesti samim tim i bola bi trebalo da bude posebno prilagođena svakom pacijentu, uz poštovanje tri ključna principa:</w:t>
            </w:r>
          </w:p>
          <w:p w:rsidR="0008343D" w:rsidRPr="00BE33CF" w:rsidRDefault="0008343D" w:rsidP="00DB344C">
            <w:pPr>
              <w:spacing w:before="40" w:after="40" w:line="360" w:lineRule="auto"/>
              <w:jc w:val="both"/>
              <w:rPr>
                <w:rFonts w:ascii="Arial" w:hAnsi="Arial" w:cs="Arial"/>
                <w:lang w:eastAsia="sl-SI"/>
              </w:rPr>
            </w:pPr>
            <w:r w:rsidRPr="00BE33CF">
              <w:rPr>
                <w:rFonts w:ascii="Arial" w:hAnsi="Arial" w:cs="Arial"/>
                <w:lang w:eastAsia="sl-SI"/>
              </w:rPr>
              <w:t>1. Prepoznati patofiziologiju</w:t>
            </w:r>
          </w:p>
          <w:p w:rsidR="0008343D" w:rsidRPr="00BE33CF" w:rsidRDefault="0008343D" w:rsidP="00DB344C">
            <w:pPr>
              <w:spacing w:before="40" w:after="40" w:line="360" w:lineRule="auto"/>
              <w:jc w:val="both"/>
              <w:rPr>
                <w:rFonts w:ascii="Arial" w:hAnsi="Arial" w:cs="Arial"/>
                <w:lang w:eastAsia="sl-SI"/>
              </w:rPr>
            </w:pPr>
            <w:r w:rsidRPr="00BE33CF">
              <w:rPr>
                <w:rFonts w:ascii="Arial" w:hAnsi="Arial" w:cs="Arial"/>
                <w:lang w:eastAsia="sl-SI"/>
              </w:rPr>
              <w:t xml:space="preserve">2. Izvršiti </w:t>
            </w:r>
            <w:proofErr w:type="spellStart"/>
            <w:r w:rsidRPr="00BE33CF">
              <w:rPr>
                <w:rFonts w:ascii="Arial" w:hAnsi="Arial" w:cs="Arial"/>
                <w:lang w:eastAsia="sl-SI"/>
              </w:rPr>
              <w:t>procenu</w:t>
            </w:r>
            <w:proofErr w:type="spellEnd"/>
          </w:p>
          <w:p w:rsidR="0008343D" w:rsidRPr="00BE33CF" w:rsidRDefault="0008343D" w:rsidP="00DB344C">
            <w:pPr>
              <w:spacing w:before="40" w:after="40" w:line="360" w:lineRule="auto"/>
              <w:jc w:val="both"/>
              <w:rPr>
                <w:rFonts w:ascii="Arial" w:hAnsi="Arial" w:cs="Arial"/>
                <w:lang w:eastAsia="sl-SI"/>
              </w:rPr>
            </w:pPr>
            <w:r w:rsidRPr="00BE33CF">
              <w:rPr>
                <w:rFonts w:ascii="Arial" w:hAnsi="Arial" w:cs="Arial"/>
                <w:lang w:eastAsia="sl-SI"/>
              </w:rPr>
              <w:t xml:space="preserve">3. </w:t>
            </w:r>
            <w:proofErr w:type="spellStart"/>
            <w:r w:rsidRPr="00BE33CF">
              <w:rPr>
                <w:rFonts w:ascii="Arial" w:hAnsi="Arial" w:cs="Arial"/>
                <w:lang w:eastAsia="sl-SI"/>
              </w:rPr>
              <w:t>Lečiti</w:t>
            </w:r>
            <w:proofErr w:type="spellEnd"/>
            <w:r w:rsidRPr="00BE33CF">
              <w:rPr>
                <w:rFonts w:ascii="Arial" w:hAnsi="Arial" w:cs="Arial"/>
                <w:lang w:eastAsia="sl-SI"/>
              </w:rPr>
              <w:t xml:space="preserve"> izlečivo, objasniti ono što nije.</w:t>
            </w:r>
          </w:p>
          <w:p w:rsidR="0057202D" w:rsidRPr="00BE33CF" w:rsidRDefault="0008343D" w:rsidP="00DB344C">
            <w:pPr>
              <w:spacing w:before="40" w:after="40" w:line="360" w:lineRule="auto"/>
              <w:jc w:val="both"/>
              <w:rPr>
                <w:rFonts w:ascii="Arial" w:hAnsi="Arial" w:cs="Arial"/>
                <w:lang w:eastAsia="sl-SI"/>
              </w:rPr>
            </w:pPr>
            <w:proofErr w:type="spellStart"/>
            <w:r w:rsidRPr="00BE33CF">
              <w:rPr>
                <w:rFonts w:ascii="Arial" w:hAnsi="Arial" w:cs="Arial"/>
                <w:lang w:eastAsia="sl-SI"/>
              </w:rPr>
              <w:t>Lečenje</w:t>
            </w:r>
            <w:proofErr w:type="spellEnd"/>
            <w:r w:rsidRPr="00BE33CF">
              <w:rPr>
                <w:rFonts w:ascii="Arial" w:hAnsi="Arial" w:cs="Arial"/>
                <w:lang w:eastAsia="sl-SI"/>
              </w:rPr>
              <w:t xml:space="preserve"> bola mora započeti odgovarajućom </w:t>
            </w:r>
            <w:proofErr w:type="spellStart"/>
            <w:r w:rsidRPr="00BE33CF">
              <w:rPr>
                <w:rFonts w:ascii="Arial" w:hAnsi="Arial" w:cs="Arial"/>
                <w:lang w:eastAsia="sl-SI"/>
              </w:rPr>
              <w:t>procenom</w:t>
            </w:r>
            <w:proofErr w:type="spellEnd"/>
            <w:r w:rsidRPr="00BE33CF">
              <w:rPr>
                <w:rFonts w:ascii="Arial" w:hAnsi="Arial" w:cs="Arial"/>
                <w:lang w:eastAsia="sl-SI"/>
              </w:rPr>
              <w:t xml:space="preserve"> bola koja čini osnovu za kvalitetno </w:t>
            </w:r>
            <w:proofErr w:type="spellStart"/>
            <w:r w:rsidRPr="00BE33CF">
              <w:rPr>
                <w:rFonts w:ascii="Arial" w:hAnsi="Arial" w:cs="Arial"/>
                <w:lang w:eastAsia="sl-SI"/>
              </w:rPr>
              <w:t>lečenje</w:t>
            </w:r>
            <w:proofErr w:type="spellEnd"/>
            <w:r w:rsidRPr="00BE33CF">
              <w:rPr>
                <w:rFonts w:ascii="Arial" w:hAnsi="Arial" w:cs="Arial"/>
                <w:lang w:eastAsia="sl-SI"/>
              </w:rPr>
              <w:t xml:space="preserve">. Tek posle kompletne </w:t>
            </w:r>
            <w:proofErr w:type="spellStart"/>
            <w:r w:rsidRPr="00BE33CF">
              <w:rPr>
                <w:rFonts w:ascii="Arial" w:hAnsi="Arial" w:cs="Arial"/>
                <w:lang w:eastAsia="sl-SI"/>
              </w:rPr>
              <w:t>procene</w:t>
            </w:r>
            <w:proofErr w:type="spellEnd"/>
            <w:r w:rsidRPr="00BE33CF">
              <w:rPr>
                <w:rFonts w:ascii="Arial" w:hAnsi="Arial" w:cs="Arial"/>
                <w:lang w:eastAsia="sl-SI"/>
              </w:rPr>
              <w:t xml:space="preserve"> u stanju smo da definišemo bolni sindrom i ponudimo odgovarajuću terapiju. </w:t>
            </w:r>
            <w:proofErr w:type="spellStart"/>
            <w:r w:rsidRPr="00BE33CF">
              <w:rPr>
                <w:rFonts w:ascii="Arial" w:hAnsi="Arial" w:cs="Arial"/>
                <w:lang w:eastAsia="sl-SI"/>
              </w:rPr>
              <w:t>Procena</w:t>
            </w:r>
            <w:proofErr w:type="spellEnd"/>
            <w:r w:rsidRPr="00BE33CF">
              <w:rPr>
                <w:rFonts w:ascii="Arial" w:hAnsi="Arial" w:cs="Arial"/>
                <w:lang w:eastAsia="sl-SI"/>
              </w:rPr>
              <w:t xml:space="preserve"> mora biti kontinuirana i mora se sprovoditi u redovnim vremenskim intervalima kao i u slučaju pogoršanja bola. Tokom </w:t>
            </w:r>
            <w:proofErr w:type="spellStart"/>
            <w:r w:rsidRPr="00BE33CF">
              <w:rPr>
                <w:rFonts w:ascii="Arial" w:hAnsi="Arial" w:cs="Arial"/>
                <w:lang w:eastAsia="sl-SI"/>
              </w:rPr>
              <w:t>istraživanja</w:t>
            </w:r>
            <w:proofErr w:type="spellEnd"/>
            <w:r w:rsidRPr="00BE33CF">
              <w:rPr>
                <w:rFonts w:ascii="Arial" w:hAnsi="Arial" w:cs="Arial"/>
                <w:lang w:eastAsia="sl-SI"/>
              </w:rPr>
              <w:t xml:space="preserve"> došlo se do zaključka da profesionalci obično </w:t>
            </w:r>
            <w:proofErr w:type="spellStart"/>
            <w:r w:rsidRPr="00BE33CF">
              <w:rPr>
                <w:rFonts w:ascii="Arial" w:hAnsi="Arial" w:cs="Arial"/>
                <w:lang w:eastAsia="sl-SI"/>
              </w:rPr>
              <w:t>potcenjuju</w:t>
            </w:r>
            <w:proofErr w:type="spellEnd"/>
            <w:r w:rsidRPr="00BE33CF">
              <w:rPr>
                <w:rFonts w:ascii="Arial" w:hAnsi="Arial" w:cs="Arial"/>
                <w:lang w:eastAsia="sl-SI"/>
              </w:rPr>
              <w:t xml:space="preserve"> jačinu bola dok je članovi porodice </w:t>
            </w:r>
            <w:proofErr w:type="spellStart"/>
            <w:r w:rsidRPr="00BE33CF">
              <w:rPr>
                <w:rFonts w:ascii="Arial" w:hAnsi="Arial" w:cs="Arial"/>
                <w:lang w:eastAsia="sl-SI"/>
              </w:rPr>
              <w:t>precenjuju</w:t>
            </w:r>
            <w:proofErr w:type="spellEnd"/>
            <w:r w:rsidRPr="00BE33CF">
              <w:rPr>
                <w:rFonts w:ascii="Arial" w:hAnsi="Arial" w:cs="Arial"/>
                <w:lang w:eastAsia="sl-SI"/>
              </w:rPr>
              <w:t>.</w:t>
            </w:r>
            <w:r w:rsidR="0057202D" w:rsidRPr="00BE33CF">
              <w:rPr>
                <w:rFonts w:ascii="Arial" w:hAnsi="Arial" w:cs="Arial"/>
                <w:lang w:eastAsia="sl-SI"/>
              </w:rPr>
              <w:t xml:space="preserve"> Obzirom na subjektivnost bola, neophodno je pažljivo analiziranje etiologije, objektivnog stanja, i odgovora na terapiju. Pažljiva </w:t>
            </w:r>
            <w:proofErr w:type="spellStart"/>
            <w:r w:rsidR="0057202D" w:rsidRPr="00BE33CF">
              <w:rPr>
                <w:rFonts w:ascii="Arial" w:hAnsi="Arial" w:cs="Arial"/>
                <w:lang w:eastAsia="sl-SI"/>
              </w:rPr>
              <w:t>procena</w:t>
            </w:r>
            <w:proofErr w:type="spellEnd"/>
            <w:r w:rsidR="0057202D" w:rsidRPr="00BE33CF">
              <w:rPr>
                <w:rFonts w:ascii="Arial" w:hAnsi="Arial" w:cs="Arial"/>
                <w:lang w:eastAsia="sl-SI"/>
              </w:rPr>
              <w:t xml:space="preserve"> problema ne uključuje samo fiziološke komponente problema, već i one emocionalne i motivacione. Najčešća greška praktičara je </w:t>
            </w:r>
            <w:proofErr w:type="spellStart"/>
            <w:r w:rsidR="0057202D" w:rsidRPr="00BE33CF">
              <w:rPr>
                <w:rFonts w:ascii="Arial" w:hAnsi="Arial" w:cs="Arial"/>
                <w:lang w:eastAsia="sl-SI"/>
              </w:rPr>
              <w:t>procena</w:t>
            </w:r>
            <w:proofErr w:type="spellEnd"/>
            <w:r w:rsidR="0057202D" w:rsidRPr="00BE33CF">
              <w:rPr>
                <w:rFonts w:ascii="Arial" w:hAnsi="Arial" w:cs="Arial"/>
                <w:lang w:eastAsia="sl-SI"/>
              </w:rPr>
              <w:t xml:space="preserve"> i tretman samo fizikalne strane bola. Ne </w:t>
            </w:r>
            <w:proofErr w:type="spellStart"/>
            <w:r w:rsidR="0057202D" w:rsidRPr="00BE33CF">
              <w:rPr>
                <w:rFonts w:ascii="Arial" w:hAnsi="Arial" w:cs="Arial"/>
                <w:lang w:eastAsia="sl-SI"/>
              </w:rPr>
              <w:t>sme</w:t>
            </w:r>
            <w:proofErr w:type="spellEnd"/>
            <w:r w:rsidR="0057202D" w:rsidRPr="00BE33CF">
              <w:rPr>
                <w:rFonts w:ascii="Arial" w:hAnsi="Arial" w:cs="Arial"/>
                <w:lang w:eastAsia="sl-SI"/>
              </w:rPr>
              <w:t xml:space="preserve"> se </w:t>
            </w:r>
            <w:proofErr w:type="spellStart"/>
            <w:r w:rsidR="0057202D" w:rsidRPr="00BE33CF">
              <w:rPr>
                <w:rFonts w:ascii="Arial" w:hAnsi="Arial" w:cs="Arial"/>
                <w:lang w:eastAsia="sl-SI"/>
              </w:rPr>
              <w:t>lečiti</w:t>
            </w:r>
            <w:proofErr w:type="spellEnd"/>
            <w:r w:rsidR="0057202D" w:rsidRPr="00BE33CF">
              <w:rPr>
                <w:rFonts w:ascii="Arial" w:hAnsi="Arial" w:cs="Arial"/>
                <w:lang w:eastAsia="sl-SI"/>
              </w:rPr>
              <w:t xml:space="preserve"> samo bol, već “pacijent u bolu”. Pri tome ne </w:t>
            </w:r>
            <w:proofErr w:type="spellStart"/>
            <w:r w:rsidR="0057202D" w:rsidRPr="00BE33CF">
              <w:rPr>
                <w:rFonts w:ascii="Arial" w:hAnsi="Arial" w:cs="Arial"/>
                <w:lang w:eastAsia="sl-SI"/>
              </w:rPr>
              <w:t>traba</w:t>
            </w:r>
            <w:proofErr w:type="spellEnd"/>
            <w:r w:rsidR="0057202D" w:rsidRPr="00BE33CF">
              <w:rPr>
                <w:rFonts w:ascii="Arial" w:hAnsi="Arial" w:cs="Arial"/>
                <w:lang w:eastAsia="sl-SI"/>
              </w:rPr>
              <w:t xml:space="preserve"> </w:t>
            </w:r>
            <w:proofErr w:type="spellStart"/>
            <w:r w:rsidR="0057202D" w:rsidRPr="00BE33CF">
              <w:rPr>
                <w:rFonts w:ascii="Arial" w:hAnsi="Arial" w:cs="Arial"/>
                <w:lang w:eastAsia="sl-SI"/>
              </w:rPr>
              <w:t>bežati</w:t>
            </w:r>
            <w:proofErr w:type="spellEnd"/>
            <w:r w:rsidR="0057202D" w:rsidRPr="00BE33CF">
              <w:rPr>
                <w:rFonts w:ascii="Arial" w:hAnsi="Arial" w:cs="Arial"/>
                <w:lang w:eastAsia="sl-SI"/>
              </w:rPr>
              <w:t>, već naprotiv tražiti pomoć različitih specijalista.</w:t>
            </w:r>
          </w:p>
          <w:p w:rsidR="0008343D" w:rsidRPr="00BE33CF" w:rsidRDefault="0008343D" w:rsidP="00DB344C">
            <w:pPr>
              <w:spacing w:before="40" w:after="40" w:line="360" w:lineRule="auto"/>
              <w:jc w:val="both"/>
              <w:rPr>
                <w:rFonts w:ascii="Arial" w:hAnsi="Arial" w:cs="Arial"/>
                <w:lang w:eastAsia="sl-SI"/>
              </w:rPr>
            </w:pPr>
            <w:r w:rsidRPr="00BE33CF">
              <w:rPr>
                <w:rFonts w:ascii="Arial" w:hAnsi="Arial" w:cs="Arial"/>
                <w:lang w:eastAsia="sl-SI"/>
              </w:rPr>
              <w:t xml:space="preserve"> </w:t>
            </w:r>
            <w:proofErr w:type="spellStart"/>
            <w:r w:rsidRPr="00BE33CF">
              <w:rPr>
                <w:rFonts w:ascii="Arial" w:hAnsi="Arial" w:cs="Arial"/>
                <w:lang w:eastAsia="sl-SI"/>
              </w:rPr>
              <w:t>Procena</w:t>
            </w:r>
            <w:proofErr w:type="spellEnd"/>
            <w:r w:rsidRPr="00BE33CF">
              <w:rPr>
                <w:rFonts w:ascii="Arial" w:hAnsi="Arial" w:cs="Arial"/>
                <w:lang w:eastAsia="sl-SI"/>
              </w:rPr>
              <w:t xml:space="preserve"> bola dakle uključuje: detaljnu anamnezu bola, fizikalni pregled, neurološki pregled, psihosocijalnu </w:t>
            </w:r>
            <w:proofErr w:type="spellStart"/>
            <w:r w:rsidRPr="00BE33CF">
              <w:rPr>
                <w:rFonts w:ascii="Arial" w:hAnsi="Arial" w:cs="Arial"/>
                <w:lang w:eastAsia="sl-SI"/>
              </w:rPr>
              <w:t>procenu</w:t>
            </w:r>
            <w:proofErr w:type="spellEnd"/>
            <w:r w:rsidRPr="00BE33CF">
              <w:rPr>
                <w:rFonts w:ascii="Arial" w:hAnsi="Arial" w:cs="Arial"/>
                <w:lang w:eastAsia="sl-SI"/>
              </w:rPr>
              <w:t xml:space="preserve">, kao i ostala ispitivanja: </w:t>
            </w:r>
            <w:proofErr w:type="spellStart"/>
            <w:r w:rsidRPr="00BE33CF">
              <w:rPr>
                <w:rFonts w:ascii="Arial" w:hAnsi="Arial" w:cs="Arial"/>
                <w:lang w:eastAsia="sl-SI"/>
              </w:rPr>
              <w:lastRenderedPageBreak/>
              <w:t>rentgenografiju</w:t>
            </w:r>
            <w:proofErr w:type="spellEnd"/>
            <w:r w:rsidRPr="00BE33CF">
              <w:rPr>
                <w:rFonts w:ascii="Arial" w:hAnsi="Arial" w:cs="Arial"/>
                <w:lang w:eastAsia="sl-SI"/>
              </w:rPr>
              <w:t xml:space="preserve">, scintigrafiju skeleta, CT, MRI, laboratorijske različite analize (ako je neophodno i ako je prikladno) itd. Cilj </w:t>
            </w:r>
            <w:proofErr w:type="spellStart"/>
            <w:r w:rsidRPr="00BE33CF">
              <w:rPr>
                <w:rFonts w:ascii="Arial" w:hAnsi="Arial" w:cs="Arial"/>
                <w:lang w:eastAsia="sl-SI"/>
              </w:rPr>
              <w:t>lečenja</w:t>
            </w:r>
            <w:proofErr w:type="spellEnd"/>
            <w:r w:rsidRPr="00BE33CF">
              <w:rPr>
                <w:rFonts w:ascii="Arial" w:hAnsi="Arial" w:cs="Arial"/>
                <w:lang w:eastAsia="sl-SI"/>
              </w:rPr>
              <w:t xml:space="preserve"> bola je ublažavanje bola koliko god je to moguće, mora se težiti da </w:t>
            </w:r>
            <w:proofErr w:type="spellStart"/>
            <w:r w:rsidRPr="00BE33CF">
              <w:rPr>
                <w:rFonts w:ascii="Arial" w:hAnsi="Arial" w:cs="Arial"/>
                <w:lang w:eastAsia="sl-SI"/>
              </w:rPr>
              <w:t>noć</w:t>
            </w:r>
            <w:proofErr w:type="spellEnd"/>
            <w:r w:rsidRPr="00BE33CF">
              <w:rPr>
                <w:rFonts w:ascii="Arial" w:hAnsi="Arial" w:cs="Arial"/>
                <w:lang w:eastAsia="sl-SI"/>
              </w:rPr>
              <w:t xml:space="preserve"> bude bez bola, dnevni odmor bez bola, ali i kretanje bez bola, što međutim nije </w:t>
            </w:r>
            <w:proofErr w:type="spellStart"/>
            <w:r w:rsidRPr="00BE33CF">
              <w:rPr>
                <w:rFonts w:ascii="Arial" w:hAnsi="Arial" w:cs="Arial"/>
                <w:lang w:eastAsia="sl-SI"/>
              </w:rPr>
              <w:t>uvek</w:t>
            </w:r>
            <w:proofErr w:type="spellEnd"/>
            <w:r w:rsidRPr="00BE33CF">
              <w:rPr>
                <w:rFonts w:ascii="Arial" w:hAnsi="Arial" w:cs="Arial"/>
                <w:lang w:eastAsia="sl-SI"/>
              </w:rPr>
              <w:t xml:space="preserve"> moguće. </w:t>
            </w:r>
          </w:p>
          <w:p w:rsidR="0008343D" w:rsidRPr="00BE33CF" w:rsidRDefault="0008343D" w:rsidP="00DB344C">
            <w:pPr>
              <w:spacing w:before="40" w:after="40" w:line="360" w:lineRule="auto"/>
              <w:jc w:val="both"/>
              <w:rPr>
                <w:rFonts w:ascii="Arial" w:hAnsi="Arial" w:cs="Arial"/>
                <w:lang w:eastAsia="sl-SI"/>
              </w:rPr>
            </w:pPr>
            <w:r w:rsidRPr="00BE33CF">
              <w:rPr>
                <w:rFonts w:ascii="Arial" w:hAnsi="Arial" w:cs="Arial"/>
                <w:lang w:eastAsia="sl-SI"/>
              </w:rPr>
              <w:t xml:space="preserve">Lekovi za terapiju kancerskog bola: </w:t>
            </w:r>
            <w:proofErr w:type="spellStart"/>
            <w:r w:rsidRPr="00BE33CF">
              <w:rPr>
                <w:rFonts w:ascii="Arial" w:hAnsi="Arial" w:cs="Arial"/>
                <w:lang w:eastAsia="sl-SI"/>
              </w:rPr>
              <w:t>neopoidni</w:t>
            </w:r>
            <w:proofErr w:type="spellEnd"/>
            <w:r w:rsidRPr="00BE33CF">
              <w:rPr>
                <w:rFonts w:ascii="Arial" w:hAnsi="Arial" w:cs="Arial"/>
                <w:lang w:eastAsia="sl-SI"/>
              </w:rPr>
              <w:t xml:space="preserve"> analgetici, </w:t>
            </w:r>
            <w:proofErr w:type="spellStart"/>
            <w:r w:rsidRPr="00BE33CF">
              <w:rPr>
                <w:rFonts w:ascii="Arial" w:hAnsi="Arial" w:cs="Arial"/>
                <w:lang w:eastAsia="sl-SI"/>
              </w:rPr>
              <w:t>opoidni</w:t>
            </w:r>
            <w:proofErr w:type="spellEnd"/>
            <w:r w:rsidRPr="00BE33CF">
              <w:rPr>
                <w:rFonts w:ascii="Arial" w:hAnsi="Arial" w:cs="Arial"/>
                <w:lang w:eastAsia="sl-SI"/>
              </w:rPr>
              <w:t xml:space="preserve"> analgetici, </w:t>
            </w:r>
            <w:proofErr w:type="spellStart"/>
            <w:r w:rsidRPr="00BE33CF">
              <w:rPr>
                <w:rFonts w:ascii="Arial" w:hAnsi="Arial" w:cs="Arial"/>
                <w:lang w:eastAsia="sl-SI"/>
              </w:rPr>
              <w:t>koanalgetici</w:t>
            </w:r>
            <w:proofErr w:type="spellEnd"/>
            <w:r w:rsidRPr="00BE33CF">
              <w:rPr>
                <w:rFonts w:ascii="Arial" w:hAnsi="Arial" w:cs="Arial"/>
                <w:lang w:eastAsia="sl-SI"/>
              </w:rPr>
              <w:t xml:space="preserve"> (</w:t>
            </w:r>
            <w:proofErr w:type="spellStart"/>
            <w:r w:rsidRPr="00BE33CF">
              <w:rPr>
                <w:rFonts w:ascii="Arial" w:hAnsi="Arial" w:cs="Arial"/>
                <w:lang w:eastAsia="sl-SI"/>
              </w:rPr>
              <w:t>adjuvansi</w:t>
            </w:r>
            <w:proofErr w:type="spellEnd"/>
            <w:r w:rsidRPr="00BE33CF">
              <w:rPr>
                <w:rFonts w:ascii="Arial" w:hAnsi="Arial" w:cs="Arial"/>
                <w:lang w:eastAsia="sl-SI"/>
              </w:rPr>
              <w:t>) (ne daju se rutinski već se uvode u zavisnosti od specifičnih potreba pacijenata), lekovi za terapiju neželjenih dejstava analgetika.</w:t>
            </w:r>
          </w:p>
          <w:p w:rsidR="004C7EF3" w:rsidRDefault="0008343D" w:rsidP="00DB344C">
            <w:pPr>
              <w:spacing w:before="40" w:after="40" w:line="360" w:lineRule="auto"/>
              <w:jc w:val="both"/>
              <w:rPr>
                <w:rFonts w:ascii="Arial" w:hAnsi="Arial" w:cs="Arial"/>
                <w:lang w:eastAsia="sl-SI"/>
              </w:rPr>
            </w:pPr>
            <w:r w:rsidRPr="00BE33CF">
              <w:rPr>
                <w:rFonts w:ascii="Arial" w:hAnsi="Arial" w:cs="Arial"/>
                <w:lang w:eastAsia="sl-SI"/>
              </w:rPr>
              <w:t>Prilikom terapije karcinomskog bola potrebno je slediti princip „stepenica” SZO</w:t>
            </w:r>
            <w:r w:rsidR="004C7EF3">
              <w:rPr>
                <w:rFonts w:ascii="Arial" w:hAnsi="Arial" w:cs="Arial"/>
                <w:lang w:eastAsia="sl-SI"/>
              </w:rPr>
              <w:t>:</w:t>
            </w:r>
          </w:p>
          <w:p w:rsidR="004C7EF3" w:rsidRDefault="0008343D" w:rsidP="00DB344C">
            <w:pPr>
              <w:spacing w:before="40" w:after="40" w:line="360" w:lineRule="auto"/>
              <w:jc w:val="both"/>
              <w:rPr>
                <w:rFonts w:ascii="Arial" w:hAnsi="Arial" w:cs="Arial"/>
                <w:lang w:eastAsia="sl-SI"/>
              </w:rPr>
            </w:pPr>
            <w:r w:rsidRPr="00BE33CF">
              <w:rPr>
                <w:rFonts w:ascii="Arial" w:hAnsi="Arial" w:cs="Arial"/>
                <w:lang w:eastAsia="sl-SI"/>
              </w:rPr>
              <w:t xml:space="preserve"> 1. stepenica: za blagi bol (1–4/10 NRS) </w:t>
            </w:r>
            <w:proofErr w:type="spellStart"/>
            <w:r w:rsidRPr="00BE33CF">
              <w:rPr>
                <w:rFonts w:ascii="Arial" w:hAnsi="Arial" w:cs="Arial"/>
                <w:lang w:eastAsia="sl-SI"/>
              </w:rPr>
              <w:t>neopioidi</w:t>
            </w:r>
            <w:proofErr w:type="spellEnd"/>
            <w:r w:rsidRPr="00BE33CF">
              <w:rPr>
                <w:rFonts w:ascii="Arial" w:hAnsi="Arial" w:cs="Arial"/>
                <w:lang w:eastAsia="sl-SI"/>
              </w:rPr>
              <w:t xml:space="preserve"> su analgetici izbora. Njima se mogu dodati </w:t>
            </w:r>
            <w:proofErr w:type="spellStart"/>
            <w:r w:rsidRPr="00BE33CF">
              <w:rPr>
                <w:rFonts w:ascii="Arial" w:hAnsi="Arial" w:cs="Arial"/>
                <w:lang w:eastAsia="sl-SI"/>
              </w:rPr>
              <w:t>koanalgetici</w:t>
            </w:r>
            <w:proofErr w:type="spellEnd"/>
            <w:r w:rsidRPr="00BE33CF">
              <w:rPr>
                <w:rFonts w:ascii="Arial" w:hAnsi="Arial" w:cs="Arial"/>
                <w:lang w:eastAsia="sl-SI"/>
              </w:rPr>
              <w:t xml:space="preserve"> ako je potrebno. </w:t>
            </w:r>
          </w:p>
          <w:p w:rsidR="004C7EF3" w:rsidRDefault="0008343D" w:rsidP="00DB344C">
            <w:pPr>
              <w:spacing w:before="40" w:after="40" w:line="360" w:lineRule="auto"/>
              <w:jc w:val="both"/>
              <w:rPr>
                <w:rFonts w:ascii="Arial" w:hAnsi="Arial" w:cs="Arial"/>
                <w:lang w:eastAsia="sl-SI"/>
              </w:rPr>
            </w:pPr>
            <w:r w:rsidRPr="00BE33CF">
              <w:rPr>
                <w:rFonts w:ascii="Arial" w:hAnsi="Arial" w:cs="Arial"/>
                <w:lang w:eastAsia="sl-SI"/>
              </w:rPr>
              <w:t>2. stepenica: (</w:t>
            </w:r>
            <w:proofErr w:type="spellStart"/>
            <w:r w:rsidRPr="00BE33CF">
              <w:rPr>
                <w:rFonts w:ascii="Arial" w:hAnsi="Arial" w:cs="Arial"/>
                <w:lang w:eastAsia="sl-SI"/>
              </w:rPr>
              <w:t>umereno</w:t>
            </w:r>
            <w:proofErr w:type="spellEnd"/>
            <w:r w:rsidRPr="00BE33CF">
              <w:rPr>
                <w:rFonts w:ascii="Arial" w:hAnsi="Arial" w:cs="Arial"/>
                <w:lang w:eastAsia="sl-SI"/>
              </w:rPr>
              <w:t xml:space="preserve"> jak bol: 5–6/10 NRS): ukoliko </w:t>
            </w:r>
            <w:proofErr w:type="spellStart"/>
            <w:r w:rsidRPr="00BE33CF">
              <w:rPr>
                <w:rFonts w:ascii="Arial" w:hAnsi="Arial" w:cs="Arial"/>
                <w:lang w:eastAsia="sl-SI"/>
              </w:rPr>
              <w:t>lek</w:t>
            </w:r>
            <w:proofErr w:type="spellEnd"/>
            <w:r w:rsidRPr="00BE33CF">
              <w:rPr>
                <w:rFonts w:ascii="Arial" w:hAnsi="Arial" w:cs="Arial"/>
                <w:lang w:eastAsia="sl-SI"/>
              </w:rPr>
              <w:t xml:space="preserve"> prve stepenice ne može da ublaži bol, ili pacijent </w:t>
            </w:r>
            <w:proofErr w:type="spellStart"/>
            <w:r w:rsidRPr="00BE33CF">
              <w:rPr>
                <w:rFonts w:ascii="Arial" w:hAnsi="Arial" w:cs="Arial"/>
                <w:lang w:eastAsia="sl-SI"/>
              </w:rPr>
              <w:t>procenjuje</w:t>
            </w:r>
            <w:proofErr w:type="spellEnd"/>
            <w:r w:rsidRPr="00BE33CF">
              <w:rPr>
                <w:rFonts w:ascii="Arial" w:hAnsi="Arial" w:cs="Arial"/>
                <w:lang w:eastAsia="sl-SI"/>
              </w:rPr>
              <w:t xml:space="preserve"> bol kao </w:t>
            </w:r>
            <w:proofErr w:type="spellStart"/>
            <w:r w:rsidRPr="00BE33CF">
              <w:rPr>
                <w:rFonts w:ascii="Arial" w:hAnsi="Arial" w:cs="Arial"/>
                <w:lang w:eastAsia="sl-SI"/>
              </w:rPr>
              <w:t>umereno</w:t>
            </w:r>
            <w:proofErr w:type="spellEnd"/>
            <w:r w:rsidRPr="00BE33CF">
              <w:rPr>
                <w:rFonts w:ascii="Arial" w:hAnsi="Arial" w:cs="Arial"/>
                <w:lang w:eastAsia="sl-SI"/>
              </w:rPr>
              <w:t xml:space="preserve"> jak, onda se </w:t>
            </w:r>
            <w:proofErr w:type="spellStart"/>
            <w:r w:rsidRPr="00BE33CF">
              <w:rPr>
                <w:rFonts w:ascii="Arial" w:hAnsi="Arial" w:cs="Arial"/>
                <w:lang w:eastAsia="sl-SI"/>
              </w:rPr>
              <w:t>primenjuju</w:t>
            </w:r>
            <w:proofErr w:type="spellEnd"/>
            <w:r w:rsidRPr="00BE33CF">
              <w:rPr>
                <w:rFonts w:ascii="Arial" w:hAnsi="Arial" w:cs="Arial"/>
                <w:lang w:eastAsia="sl-SI"/>
              </w:rPr>
              <w:t xml:space="preserve"> slabi </w:t>
            </w:r>
            <w:proofErr w:type="spellStart"/>
            <w:r w:rsidRPr="00BE33CF">
              <w:rPr>
                <w:rFonts w:ascii="Arial" w:hAnsi="Arial" w:cs="Arial"/>
                <w:lang w:eastAsia="sl-SI"/>
              </w:rPr>
              <w:t>opioidi</w:t>
            </w:r>
            <w:proofErr w:type="spellEnd"/>
            <w:r w:rsidRPr="00BE33CF">
              <w:rPr>
                <w:rFonts w:ascii="Arial" w:hAnsi="Arial" w:cs="Arial"/>
                <w:lang w:eastAsia="sl-SI"/>
              </w:rPr>
              <w:t xml:space="preserve">, u kombinaciji sa </w:t>
            </w:r>
            <w:proofErr w:type="spellStart"/>
            <w:r w:rsidRPr="00BE33CF">
              <w:rPr>
                <w:rFonts w:ascii="Arial" w:hAnsi="Arial" w:cs="Arial"/>
                <w:lang w:eastAsia="sl-SI"/>
              </w:rPr>
              <w:t>neopioidima</w:t>
            </w:r>
            <w:proofErr w:type="spellEnd"/>
            <w:r w:rsidRPr="00BE33CF">
              <w:rPr>
                <w:rFonts w:ascii="Arial" w:hAnsi="Arial" w:cs="Arial"/>
                <w:lang w:eastAsia="sl-SI"/>
              </w:rPr>
              <w:t xml:space="preserve"> i </w:t>
            </w:r>
            <w:proofErr w:type="spellStart"/>
            <w:r w:rsidRPr="00BE33CF">
              <w:rPr>
                <w:rFonts w:ascii="Arial" w:hAnsi="Arial" w:cs="Arial"/>
                <w:lang w:eastAsia="sl-SI"/>
              </w:rPr>
              <w:t>koanalgeticima</w:t>
            </w:r>
            <w:proofErr w:type="spellEnd"/>
            <w:r w:rsidRPr="00BE33CF">
              <w:rPr>
                <w:rFonts w:ascii="Arial" w:hAnsi="Arial" w:cs="Arial"/>
                <w:lang w:eastAsia="sl-SI"/>
              </w:rPr>
              <w:t xml:space="preserve">, kada je to potrebno. </w:t>
            </w:r>
          </w:p>
          <w:p w:rsidR="0008343D" w:rsidRPr="00BE33CF" w:rsidRDefault="0008343D" w:rsidP="00DB344C">
            <w:pPr>
              <w:spacing w:before="40" w:after="40" w:line="360" w:lineRule="auto"/>
              <w:jc w:val="both"/>
              <w:rPr>
                <w:rFonts w:ascii="Arial" w:hAnsi="Arial" w:cs="Arial"/>
                <w:lang w:eastAsia="sl-SI"/>
              </w:rPr>
            </w:pPr>
            <w:r w:rsidRPr="00BE33CF">
              <w:rPr>
                <w:rFonts w:ascii="Arial" w:hAnsi="Arial" w:cs="Arial"/>
                <w:lang w:eastAsia="sl-SI"/>
              </w:rPr>
              <w:t xml:space="preserve">3. stepenica: jak bol ili bol koji je prethodno loše kontrolisan drugim lekovima, </w:t>
            </w:r>
            <w:proofErr w:type="spellStart"/>
            <w:r w:rsidRPr="00BE33CF">
              <w:rPr>
                <w:rFonts w:ascii="Arial" w:hAnsi="Arial" w:cs="Arial"/>
                <w:lang w:eastAsia="sl-SI"/>
              </w:rPr>
              <w:t>zahteva</w:t>
            </w:r>
            <w:proofErr w:type="spellEnd"/>
            <w:r w:rsidRPr="00BE33CF">
              <w:rPr>
                <w:rFonts w:ascii="Arial" w:hAnsi="Arial" w:cs="Arial"/>
                <w:lang w:eastAsia="sl-SI"/>
              </w:rPr>
              <w:t xml:space="preserve"> primanu jakih </w:t>
            </w:r>
            <w:proofErr w:type="spellStart"/>
            <w:r w:rsidRPr="00BE33CF">
              <w:rPr>
                <w:rFonts w:ascii="Arial" w:hAnsi="Arial" w:cs="Arial"/>
                <w:lang w:eastAsia="sl-SI"/>
              </w:rPr>
              <w:t>opioida</w:t>
            </w:r>
            <w:proofErr w:type="spellEnd"/>
            <w:r w:rsidRPr="00BE33CF">
              <w:rPr>
                <w:rFonts w:ascii="Arial" w:hAnsi="Arial" w:cs="Arial"/>
                <w:lang w:eastAsia="sl-SI"/>
              </w:rPr>
              <w:t xml:space="preserve">. Jaki </w:t>
            </w:r>
            <w:proofErr w:type="spellStart"/>
            <w:r w:rsidRPr="00BE33CF">
              <w:rPr>
                <w:rFonts w:ascii="Arial" w:hAnsi="Arial" w:cs="Arial"/>
                <w:lang w:eastAsia="sl-SI"/>
              </w:rPr>
              <w:t>opioidi</w:t>
            </w:r>
            <w:proofErr w:type="spellEnd"/>
            <w:r w:rsidRPr="00BE33CF">
              <w:rPr>
                <w:rFonts w:ascii="Arial" w:hAnsi="Arial" w:cs="Arial"/>
                <w:lang w:eastAsia="sl-SI"/>
              </w:rPr>
              <w:t xml:space="preserve"> se </w:t>
            </w:r>
            <w:proofErr w:type="spellStart"/>
            <w:r w:rsidRPr="00BE33CF">
              <w:rPr>
                <w:rFonts w:ascii="Arial" w:hAnsi="Arial" w:cs="Arial"/>
                <w:lang w:eastAsia="sl-SI"/>
              </w:rPr>
              <w:t>takođe</w:t>
            </w:r>
            <w:proofErr w:type="spellEnd"/>
            <w:r w:rsidRPr="00BE33CF">
              <w:rPr>
                <w:rFonts w:ascii="Arial" w:hAnsi="Arial" w:cs="Arial"/>
                <w:lang w:eastAsia="sl-SI"/>
              </w:rPr>
              <w:t xml:space="preserve"> mogu </w:t>
            </w:r>
            <w:proofErr w:type="spellStart"/>
            <w:r w:rsidRPr="00BE33CF">
              <w:rPr>
                <w:rFonts w:ascii="Arial" w:hAnsi="Arial" w:cs="Arial"/>
                <w:lang w:eastAsia="sl-SI"/>
              </w:rPr>
              <w:t>kombinovati</w:t>
            </w:r>
            <w:proofErr w:type="spellEnd"/>
            <w:r w:rsidRPr="00BE33CF">
              <w:rPr>
                <w:rFonts w:ascii="Arial" w:hAnsi="Arial" w:cs="Arial"/>
                <w:lang w:eastAsia="sl-SI"/>
              </w:rPr>
              <w:t xml:space="preserve"> sa </w:t>
            </w:r>
            <w:proofErr w:type="spellStart"/>
            <w:r w:rsidRPr="00BE33CF">
              <w:rPr>
                <w:rFonts w:ascii="Arial" w:hAnsi="Arial" w:cs="Arial"/>
                <w:lang w:eastAsia="sl-SI"/>
              </w:rPr>
              <w:t>neopioidima</w:t>
            </w:r>
            <w:proofErr w:type="spellEnd"/>
            <w:r w:rsidRPr="00BE33CF">
              <w:rPr>
                <w:rFonts w:ascii="Arial" w:hAnsi="Arial" w:cs="Arial"/>
                <w:lang w:eastAsia="sl-SI"/>
              </w:rPr>
              <w:t xml:space="preserve"> i mogu im se dodavati </w:t>
            </w:r>
            <w:proofErr w:type="spellStart"/>
            <w:r w:rsidRPr="00BE33CF">
              <w:rPr>
                <w:rFonts w:ascii="Arial" w:hAnsi="Arial" w:cs="Arial"/>
                <w:lang w:eastAsia="sl-SI"/>
              </w:rPr>
              <w:t>koanalgetici</w:t>
            </w:r>
            <w:proofErr w:type="spellEnd"/>
            <w:r w:rsidRPr="00BE33CF">
              <w:rPr>
                <w:rFonts w:ascii="Arial" w:hAnsi="Arial" w:cs="Arial"/>
                <w:lang w:eastAsia="sl-SI"/>
              </w:rPr>
              <w:t>.</w:t>
            </w:r>
          </w:p>
          <w:p w:rsidR="00A6712D" w:rsidRPr="00BE33CF" w:rsidRDefault="00EC22B3" w:rsidP="00DB344C">
            <w:pPr>
              <w:spacing w:before="40" w:after="40" w:line="360" w:lineRule="auto"/>
              <w:jc w:val="both"/>
              <w:rPr>
                <w:rFonts w:ascii="Arial" w:hAnsi="Arial" w:cs="Arial"/>
                <w:lang w:eastAsia="sl-SI"/>
              </w:rPr>
            </w:pPr>
            <w:r w:rsidRPr="00BE33CF">
              <w:rPr>
                <w:rFonts w:ascii="Arial" w:hAnsi="Arial" w:cs="Arial"/>
                <w:lang w:eastAsia="sl-SI"/>
              </w:rPr>
              <w:t xml:space="preserve">          </w:t>
            </w:r>
            <w:r w:rsidR="00A6712D" w:rsidRPr="00BE33CF">
              <w:rPr>
                <w:rFonts w:ascii="Arial" w:hAnsi="Arial" w:cs="Arial"/>
                <w:lang w:eastAsia="sl-SI"/>
              </w:rPr>
              <w:t>Posle svakog predavanja učesnici su imali brojna pitanja, pokretane su mini diskusije, a učesnic</w:t>
            </w:r>
            <w:r w:rsidR="0057202D" w:rsidRPr="00BE33CF">
              <w:rPr>
                <w:rFonts w:ascii="Arial" w:hAnsi="Arial" w:cs="Arial"/>
                <w:lang w:eastAsia="sl-SI"/>
              </w:rPr>
              <w:t>i su podstaknuti da i nakon predavanj</w:t>
            </w:r>
            <w:r w:rsidR="00A6712D" w:rsidRPr="00BE33CF">
              <w:rPr>
                <w:rFonts w:ascii="Arial" w:hAnsi="Arial" w:cs="Arial"/>
                <w:lang w:eastAsia="sl-SI"/>
              </w:rPr>
              <w:t xml:space="preserve">a komuniciraju sa </w:t>
            </w:r>
            <w:proofErr w:type="spellStart"/>
            <w:r w:rsidR="00A6712D" w:rsidRPr="00BE33CF">
              <w:rPr>
                <w:rFonts w:ascii="Arial" w:hAnsi="Arial" w:cs="Arial"/>
                <w:lang w:eastAsia="sl-SI"/>
              </w:rPr>
              <w:t>predavačima</w:t>
            </w:r>
            <w:proofErr w:type="spellEnd"/>
            <w:r w:rsidR="00A6712D" w:rsidRPr="00BE33CF">
              <w:rPr>
                <w:rFonts w:ascii="Arial" w:hAnsi="Arial" w:cs="Arial"/>
                <w:lang w:eastAsia="sl-SI"/>
              </w:rPr>
              <w:t xml:space="preserve"> u neformalnim okolnostima. Nakon prezentovanih tema, otvorena je polučasovna diskusija</w:t>
            </w:r>
            <w:r w:rsidR="00051812" w:rsidRPr="00BE33CF">
              <w:rPr>
                <w:rFonts w:ascii="Arial" w:hAnsi="Arial" w:cs="Arial"/>
                <w:lang w:eastAsia="sl-SI"/>
              </w:rPr>
              <w:t xml:space="preserve"> te su </w:t>
            </w:r>
            <w:proofErr w:type="spellStart"/>
            <w:r w:rsidR="00051812" w:rsidRPr="00BE33CF">
              <w:rPr>
                <w:rFonts w:ascii="Arial" w:hAnsi="Arial" w:cs="Arial"/>
                <w:lang w:eastAsia="sl-SI"/>
              </w:rPr>
              <w:t>predavači</w:t>
            </w:r>
            <w:proofErr w:type="spellEnd"/>
            <w:r w:rsidR="00051812" w:rsidRPr="00BE33CF">
              <w:rPr>
                <w:rFonts w:ascii="Arial" w:hAnsi="Arial" w:cs="Arial"/>
                <w:lang w:eastAsia="sl-SI"/>
              </w:rPr>
              <w:t xml:space="preserve"> odgovorili učesnicima na sva postavljena pitanja koja su u vezi sa</w:t>
            </w:r>
            <w:r w:rsidR="00FA5B89" w:rsidRPr="00BE33CF">
              <w:rPr>
                <w:rFonts w:ascii="Arial" w:hAnsi="Arial" w:cs="Arial"/>
                <w:lang w:eastAsia="sl-SI"/>
              </w:rPr>
              <w:t xml:space="preserve"> </w:t>
            </w:r>
            <w:r w:rsidR="00051812" w:rsidRPr="00BE33CF">
              <w:rPr>
                <w:rFonts w:ascii="Arial" w:hAnsi="Arial" w:cs="Arial"/>
                <w:lang w:eastAsia="sl-SI"/>
              </w:rPr>
              <w:t>hroničnim bolom</w:t>
            </w:r>
            <w:r w:rsidR="00FA5B89" w:rsidRPr="00BE33CF">
              <w:rPr>
                <w:rFonts w:ascii="Arial" w:hAnsi="Arial" w:cs="Arial"/>
                <w:lang w:eastAsia="sl-SI"/>
              </w:rPr>
              <w:t xml:space="preserve"> i njegovim tretmanom. </w:t>
            </w:r>
            <w:proofErr w:type="spellStart"/>
            <w:r w:rsidR="00FA5B89" w:rsidRPr="00BE33CF">
              <w:rPr>
                <w:rFonts w:ascii="Arial" w:hAnsi="Arial" w:cs="Arial"/>
                <w:lang w:eastAsia="sl-SI"/>
              </w:rPr>
              <w:t>Takođe</w:t>
            </w:r>
            <w:proofErr w:type="spellEnd"/>
            <w:r w:rsidR="00FA5B89" w:rsidRPr="00BE33CF">
              <w:rPr>
                <w:rFonts w:ascii="Arial" w:hAnsi="Arial" w:cs="Arial"/>
                <w:lang w:eastAsia="sl-SI"/>
              </w:rPr>
              <w:t xml:space="preserve">, učesnicima je data preporuka da sa </w:t>
            </w:r>
            <w:proofErr w:type="spellStart"/>
            <w:r w:rsidR="00FA5B89" w:rsidRPr="00BE33CF">
              <w:rPr>
                <w:rFonts w:ascii="Arial" w:hAnsi="Arial" w:cs="Arial"/>
                <w:lang w:eastAsia="sl-SI"/>
              </w:rPr>
              <w:t>sajta</w:t>
            </w:r>
            <w:proofErr w:type="spellEnd"/>
            <w:r w:rsidR="00FA5B89" w:rsidRPr="00BE33CF">
              <w:rPr>
                <w:rFonts w:ascii="Arial" w:hAnsi="Arial" w:cs="Arial"/>
                <w:lang w:eastAsia="sl-SI"/>
              </w:rPr>
              <w:t xml:space="preserve"> HEPMP mogu preuzeti </w:t>
            </w:r>
            <w:r w:rsidR="00381648" w:rsidRPr="00BE33CF">
              <w:rPr>
                <w:rFonts w:ascii="Arial" w:hAnsi="Arial" w:cs="Arial"/>
                <w:lang w:eastAsia="sl-SI"/>
              </w:rPr>
              <w:t xml:space="preserve">edukativni materijal u vidu </w:t>
            </w:r>
            <w:r w:rsidR="00FA5B89" w:rsidRPr="00BE33CF">
              <w:rPr>
                <w:rFonts w:ascii="Arial" w:hAnsi="Arial" w:cs="Arial"/>
                <w:lang w:eastAsia="sl-SI"/>
              </w:rPr>
              <w:t>prezentacij</w:t>
            </w:r>
            <w:r w:rsidR="00381648" w:rsidRPr="00BE33CF">
              <w:rPr>
                <w:rFonts w:ascii="Arial" w:hAnsi="Arial" w:cs="Arial"/>
                <w:lang w:eastAsia="sl-SI"/>
              </w:rPr>
              <w:t xml:space="preserve">a u </w:t>
            </w:r>
            <w:proofErr w:type="spellStart"/>
            <w:r w:rsidR="00381648" w:rsidRPr="00BE33CF">
              <w:rPr>
                <w:rFonts w:ascii="Arial" w:hAnsi="Arial" w:cs="Arial"/>
                <w:lang w:eastAsia="sl-SI"/>
              </w:rPr>
              <w:t>pdf</w:t>
            </w:r>
            <w:proofErr w:type="spellEnd"/>
            <w:r w:rsidR="00381648" w:rsidRPr="00BE33CF">
              <w:rPr>
                <w:rFonts w:ascii="Arial" w:hAnsi="Arial" w:cs="Arial"/>
                <w:lang w:eastAsia="sl-SI"/>
              </w:rPr>
              <w:t xml:space="preserve"> formatu.</w:t>
            </w:r>
            <w:r w:rsidR="00FA5B89" w:rsidRPr="00BE33CF">
              <w:rPr>
                <w:rFonts w:ascii="Arial" w:hAnsi="Arial" w:cs="Arial"/>
                <w:lang w:eastAsia="sl-SI"/>
              </w:rPr>
              <w:t xml:space="preserve"> </w:t>
            </w:r>
          </w:p>
          <w:p w:rsidR="003013A8" w:rsidRDefault="003013A8" w:rsidP="00DB344C">
            <w:pPr>
              <w:spacing w:before="40" w:after="40" w:line="360" w:lineRule="auto"/>
              <w:jc w:val="both"/>
              <w:rPr>
                <w:rFonts w:ascii="Arial" w:hAnsi="Arial" w:cs="Arial"/>
                <w:lang w:eastAsia="sl-SI"/>
              </w:rPr>
            </w:pPr>
            <w:r w:rsidRPr="00BE33CF">
              <w:rPr>
                <w:rFonts w:ascii="Arial" w:hAnsi="Arial" w:cs="Arial"/>
                <w:lang w:eastAsia="sl-SI"/>
              </w:rPr>
              <w:t xml:space="preserve">Seminar je završen popunjavanjem </w:t>
            </w:r>
            <w:proofErr w:type="spellStart"/>
            <w:r w:rsidRPr="00BE33CF">
              <w:rPr>
                <w:rFonts w:ascii="Arial" w:hAnsi="Arial" w:cs="Arial"/>
                <w:lang w:eastAsia="sl-SI"/>
              </w:rPr>
              <w:t>evaluacionog</w:t>
            </w:r>
            <w:proofErr w:type="spellEnd"/>
            <w:r w:rsidRPr="00BE33CF">
              <w:rPr>
                <w:rFonts w:ascii="Arial" w:hAnsi="Arial" w:cs="Arial"/>
                <w:lang w:eastAsia="sl-SI"/>
              </w:rPr>
              <w:t xml:space="preserve"> upitnika i </w:t>
            </w:r>
            <w:proofErr w:type="spellStart"/>
            <w:r w:rsidRPr="00BE33CF">
              <w:rPr>
                <w:rFonts w:ascii="Arial" w:hAnsi="Arial" w:cs="Arial"/>
                <w:lang w:eastAsia="sl-SI"/>
              </w:rPr>
              <w:t>dodelom</w:t>
            </w:r>
            <w:proofErr w:type="spellEnd"/>
            <w:r w:rsidRPr="00BE33CF">
              <w:rPr>
                <w:rFonts w:ascii="Arial" w:hAnsi="Arial" w:cs="Arial"/>
                <w:lang w:eastAsia="sl-SI"/>
              </w:rPr>
              <w:t xml:space="preserve"> </w:t>
            </w:r>
            <w:proofErr w:type="spellStart"/>
            <w:r w:rsidRPr="00BE33CF">
              <w:rPr>
                <w:rFonts w:ascii="Arial" w:hAnsi="Arial" w:cs="Arial"/>
                <w:lang w:eastAsia="sl-SI"/>
              </w:rPr>
              <w:t>sertifikata</w:t>
            </w:r>
            <w:proofErr w:type="spellEnd"/>
            <w:r w:rsidRPr="00BE33CF">
              <w:rPr>
                <w:rFonts w:ascii="Arial" w:hAnsi="Arial" w:cs="Arial"/>
                <w:lang w:eastAsia="sl-SI"/>
              </w:rPr>
              <w:t xml:space="preserve"> polaznicima.</w:t>
            </w:r>
          </w:p>
          <w:p w:rsidR="00D003E4" w:rsidRPr="00D003E4" w:rsidRDefault="00D003E4" w:rsidP="00DB344C">
            <w:pPr>
              <w:spacing w:before="40" w:after="40" w:line="360" w:lineRule="auto"/>
              <w:jc w:val="both"/>
              <w:rPr>
                <w:rFonts w:ascii="Arial" w:hAnsi="Arial" w:cs="Arial"/>
                <w:b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 xml:space="preserve">           </w:t>
            </w:r>
            <w:proofErr w:type="spellStart"/>
            <w:r w:rsidRPr="00D003E4">
              <w:rPr>
                <w:rFonts w:ascii="Arial" w:hAnsi="Arial" w:cs="Arial"/>
                <w:b/>
                <w:lang w:eastAsia="sl-SI"/>
              </w:rPr>
              <w:t>Outcomes</w:t>
            </w:r>
            <w:proofErr w:type="spellEnd"/>
          </w:p>
          <w:p w:rsidR="003013A8" w:rsidRPr="00BE33CF" w:rsidRDefault="00EC22B3" w:rsidP="00DB344C">
            <w:pPr>
              <w:spacing w:before="40" w:after="40" w:line="360" w:lineRule="auto"/>
              <w:jc w:val="both"/>
              <w:rPr>
                <w:rFonts w:ascii="Arial" w:hAnsi="Arial" w:cs="Arial"/>
                <w:lang w:eastAsia="sl-SI"/>
              </w:rPr>
            </w:pPr>
            <w:r w:rsidRPr="00BE33CF">
              <w:rPr>
                <w:rFonts w:ascii="Arial" w:hAnsi="Arial" w:cs="Arial"/>
                <w:lang w:eastAsia="sl-SI"/>
              </w:rPr>
              <w:t xml:space="preserve">           </w:t>
            </w:r>
            <w:proofErr w:type="spellStart"/>
            <w:r w:rsidR="003013A8" w:rsidRPr="00BE33CF">
              <w:rPr>
                <w:rFonts w:ascii="Arial" w:hAnsi="Arial" w:cs="Arial"/>
                <w:lang w:eastAsia="sl-SI"/>
              </w:rPr>
              <w:t>Evaluacijom</w:t>
            </w:r>
            <w:proofErr w:type="spellEnd"/>
            <w:r w:rsidR="003013A8" w:rsidRPr="00BE33CF">
              <w:rPr>
                <w:rFonts w:ascii="Arial" w:hAnsi="Arial" w:cs="Arial"/>
                <w:lang w:eastAsia="sl-SI"/>
              </w:rPr>
              <w:t xml:space="preserve"> kursa od strane edukatora, ocenjeno je da su postignuti očekivani ishodi:</w:t>
            </w:r>
          </w:p>
          <w:p w:rsidR="003013A8" w:rsidRPr="00BE33CF" w:rsidRDefault="003013A8" w:rsidP="00DB344C">
            <w:pPr>
              <w:spacing w:before="40" w:after="40" w:line="360" w:lineRule="auto"/>
              <w:jc w:val="both"/>
              <w:rPr>
                <w:rFonts w:ascii="Arial" w:hAnsi="Arial" w:cs="Arial"/>
                <w:lang w:eastAsia="sl-SI"/>
              </w:rPr>
            </w:pPr>
            <w:r w:rsidRPr="00BE33CF">
              <w:rPr>
                <w:rFonts w:ascii="Arial" w:hAnsi="Arial" w:cs="Arial"/>
                <w:lang w:eastAsia="sl-SI"/>
              </w:rPr>
              <w:t>- zdravstveni profesionalci (</w:t>
            </w:r>
            <w:proofErr w:type="spellStart"/>
            <w:r w:rsidRPr="00BE33CF">
              <w:rPr>
                <w:rFonts w:ascii="Arial" w:hAnsi="Arial" w:cs="Arial"/>
                <w:lang w:eastAsia="sl-SI"/>
              </w:rPr>
              <w:t>lekari</w:t>
            </w:r>
            <w:proofErr w:type="spellEnd"/>
            <w:r w:rsidRPr="00BE33CF">
              <w:rPr>
                <w:rFonts w:ascii="Arial" w:hAnsi="Arial" w:cs="Arial"/>
                <w:lang w:eastAsia="sl-SI"/>
              </w:rPr>
              <w:t xml:space="preserve">, medicinske sestre, fizioterapeuti..) doma zdravlja stekli su </w:t>
            </w:r>
            <w:proofErr w:type="spellStart"/>
            <w:r w:rsidRPr="00BE33CF">
              <w:rPr>
                <w:rFonts w:ascii="Arial" w:hAnsi="Arial" w:cs="Arial"/>
                <w:lang w:eastAsia="sl-SI"/>
              </w:rPr>
              <w:t>vešt</w:t>
            </w:r>
            <w:r w:rsidR="0057202D" w:rsidRPr="00BE33CF">
              <w:rPr>
                <w:rFonts w:ascii="Arial" w:hAnsi="Arial" w:cs="Arial"/>
                <w:lang w:eastAsia="sl-SI"/>
              </w:rPr>
              <w:t>inu</w:t>
            </w:r>
            <w:proofErr w:type="spellEnd"/>
            <w:r w:rsidR="0057202D" w:rsidRPr="00BE33CF">
              <w:rPr>
                <w:rFonts w:ascii="Arial" w:hAnsi="Arial" w:cs="Arial"/>
                <w:lang w:eastAsia="sl-SI"/>
              </w:rPr>
              <w:t xml:space="preserve"> </w:t>
            </w:r>
            <w:proofErr w:type="spellStart"/>
            <w:r w:rsidR="0057202D" w:rsidRPr="00BE33CF">
              <w:rPr>
                <w:rFonts w:ascii="Arial" w:hAnsi="Arial" w:cs="Arial"/>
                <w:lang w:eastAsia="sl-SI"/>
              </w:rPr>
              <w:t>procene</w:t>
            </w:r>
            <w:proofErr w:type="spellEnd"/>
            <w:r w:rsidR="0057202D" w:rsidRPr="00BE33CF">
              <w:rPr>
                <w:rFonts w:ascii="Arial" w:hAnsi="Arial" w:cs="Arial"/>
                <w:lang w:eastAsia="sl-SI"/>
              </w:rPr>
              <w:t xml:space="preserve"> karcinomskog </w:t>
            </w:r>
            <w:r w:rsidRPr="00BE33CF">
              <w:rPr>
                <w:rFonts w:ascii="Arial" w:hAnsi="Arial" w:cs="Arial"/>
                <w:lang w:eastAsia="sl-SI"/>
              </w:rPr>
              <w:t xml:space="preserve">bola </w:t>
            </w:r>
          </w:p>
          <w:p w:rsidR="003013A8" w:rsidRPr="00BE33CF" w:rsidRDefault="003013A8" w:rsidP="00DB344C">
            <w:pPr>
              <w:spacing w:before="40" w:after="40" w:line="360" w:lineRule="auto"/>
              <w:jc w:val="both"/>
              <w:rPr>
                <w:rFonts w:ascii="Arial" w:hAnsi="Arial" w:cs="Arial"/>
                <w:lang w:eastAsia="sl-SI"/>
              </w:rPr>
            </w:pPr>
            <w:r w:rsidRPr="00BE33CF">
              <w:rPr>
                <w:rFonts w:ascii="Arial" w:hAnsi="Arial" w:cs="Arial"/>
                <w:lang w:eastAsia="sl-SI"/>
              </w:rPr>
              <w:t xml:space="preserve">- </w:t>
            </w:r>
            <w:proofErr w:type="spellStart"/>
            <w:r w:rsidRPr="00BE33CF">
              <w:rPr>
                <w:rFonts w:ascii="Arial" w:hAnsi="Arial" w:cs="Arial"/>
                <w:lang w:eastAsia="sl-SI"/>
              </w:rPr>
              <w:t>lekari</w:t>
            </w:r>
            <w:proofErr w:type="spellEnd"/>
            <w:r w:rsidRPr="00BE33CF">
              <w:rPr>
                <w:rFonts w:ascii="Arial" w:hAnsi="Arial" w:cs="Arial"/>
                <w:lang w:eastAsia="sl-SI"/>
              </w:rPr>
              <w:t xml:space="preserve"> i farmaceuti na primarnom nivou stekli su </w:t>
            </w:r>
            <w:proofErr w:type="spellStart"/>
            <w:r w:rsidRPr="00BE33CF">
              <w:rPr>
                <w:rFonts w:ascii="Arial" w:hAnsi="Arial" w:cs="Arial"/>
                <w:lang w:eastAsia="sl-SI"/>
              </w:rPr>
              <w:t>veštinu</w:t>
            </w:r>
            <w:proofErr w:type="spellEnd"/>
            <w:r w:rsidRPr="00BE33CF">
              <w:rPr>
                <w:rFonts w:ascii="Arial" w:hAnsi="Arial" w:cs="Arial"/>
                <w:lang w:eastAsia="sl-SI"/>
              </w:rPr>
              <w:t xml:space="preserve"> racionalne </w:t>
            </w:r>
            <w:proofErr w:type="spellStart"/>
            <w:r w:rsidRPr="00BE33CF">
              <w:rPr>
                <w:rFonts w:ascii="Arial" w:hAnsi="Arial" w:cs="Arial"/>
                <w:lang w:eastAsia="sl-SI"/>
              </w:rPr>
              <w:t>primene</w:t>
            </w:r>
            <w:proofErr w:type="spellEnd"/>
            <w:r w:rsidRPr="00BE33CF">
              <w:rPr>
                <w:rFonts w:ascii="Arial" w:hAnsi="Arial" w:cs="Arial"/>
                <w:lang w:eastAsia="sl-SI"/>
              </w:rPr>
              <w:t xml:space="preserve"> algoritama</w:t>
            </w:r>
            <w:r w:rsidR="0057202D" w:rsidRPr="00BE33CF">
              <w:rPr>
                <w:rFonts w:ascii="Arial" w:hAnsi="Arial" w:cs="Arial"/>
                <w:lang w:eastAsia="sl-SI"/>
              </w:rPr>
              <w:t xml:space="preserve"> farmakološkog </w:t>
            </w:r>
            <w:proofErr w:type="spellStart"/>
            <w:r w:rsidR="0057202D" w:rsidRPr="00BE33CF">
              <w:rPr>
                <w:rFonts w:ascii="Arial" w:hAnsi="Arial" w:cs="Arial"/>
                <w:lang w:eastAsia="sl-SI"/>
              </w:rPr>
              <w:t>lečenja</w:t>
            </w:r>
            <w:proofErr w:type="spellEnd"/>
            <w:r w:rsidR="0057202D" w:rsidRPr="00BE33CF">
              <w:rPr>
                <w:rFonts w:ascii="Arial" w:hAnsi="Arial" w:cs="Arial"/>
                <w:lang w:eastAsia="sl-SI"/>
              </w:rPr>
              <w:t xml:space="preserve"> karcinomskog</w:t>
            </w:r>
            <w:r w:rsidRPr="00BE33CF">
              <w:rPr>
                <w:rFonts w:ascii="Arial" w:hAnsi="Arial" w:cs="Arial"/>
                <w:lang w:eastAsia="sl-SI"/>
              </w:rPr>
              <w:t xml:space="preserve"> bola</w:t>
            </w:r>
          </w:p>
          <w:p w:rsidR="0057202D" w:rsidRPr="00BE33CF" w:rsidRDefault="003013A8" w:rsidP="00DB344C">
            <w:pPr>
              <w:spacing w:before="40" w:after="40" w:line="360" w:lineRule="auto"/>
              <w:jc w:val="both"/>
              <w:rPr>
                <w:rFonts w:ascii="Arial" w:hAnsi="Arial" w:cs="Arial"/>
                <w:lang w:eastAsia="sl-SI"/>
              </w:rPr>
            </w:pPr>
            <w:r w:rsidRPr="00BE33CF">
              <w:rPr>
                <w:rFonts w:ascii="Arial" w:hAnsi="Arial" w:cs="Arial"/>
                <w:lang w:eastAsia="sl-SI"/>
              </w:rPr>
              <w:lastRenderedPageBreak/>
              <w:t xml:space="preserve">- </w:t>
            </w:r>
            <w:proofErr w:type="spellStart"/>
            <w:r w:rsidR="0057202D" w:rsidRPr="00BE33CF">
              <w:rPr>
                <w:rFonts w:ascii="Arial" w:hAnsi="Arial" w:cs="Arial"/>
                <w:lang w:eastAsia="sl-SI"/>
              </w:rPr>
              <w:t>lekari</w:t>
            </w:r>
            <w:proofErr w:type="spellEnd"/>
            <w:r w:rsidR="0057202D" w:rsidRPr="00BE33CF">
              <w:rPr>
                <w:rFonts w:ascii="Arial" w:hAnsi="Arial" w:cs="Arial"/>
                <w:lang w:eastAsia="sl-SI"/>
              </w:rPr>
              <w:t xml:space="preserve"> i farmaceuti primarne zdravstvene zaštite stekli su znanja o </w:t>
            </w:r>
            <w:proofErr w:type="spellStart"/>
            <w:r w:rsidR="0057202D" w:rsidRPr="00BE33CF">
              <w:rPr>
                <w:rFonts w:ascii="Arial" w:hAnsi="Arial" w:cs="Arial"/>
                <w:lang w:eastAsia="sl-SI"/>
              </w:rPr>
              <w:t>primeni</w:t>
            </w:r>
            <w:proofErr w:type="spellEnd"/>
            <w:r w:rsidR="0057202D" w:rsidRPr="00BE33CF">
              <w:rPr>
                <w:rFonts w:ascii="Arial" w:hAnsi="Arial" w:cs="Arial"/>
                <w:lang w:eastAsia="sl-SI"/>
              </w:rPr>
              <w:t xml:space="preserve"> i neželjenim dejstvima </w:t>
            </w:r>
            <w:proofErr w:type="spellStart"/>
            <w:r w:rsidR="0057202D" w:rsidRPr="00BE33CF">
              <w:rPr>
                <w:rFonts w:ascii="Arial" w:hAnsi="Arial" w:cs="Arial"/>
                <w:lang w:eastAsia="sl-SI"/>
              </w:rPr>
              <w:t>opioda</w:t>
            </w:r>
            <w:proofErr w:type="spellEnd"/>
            <w:r w:rsidR="0057202D" w:rsidRPr="00BE33CF">
              <w:rPr>
                <w:rFonts w:ascii="Arial" w:hAnsi="Arial" w:cs="Arial"/>
                <w:lang w:eastAsia="sl-SI"/>
              </w:rPr>
              <w:t>, kao i znanja o invazivnim metodama za davanje analgetika.</w:t>
            </w:r>
          </w:p>
          <w:p w:rsidR="00163BAF" w:rsidRPr="00BE33CF" w:rsidRDefault="00EC22B3" w:rsidP="00DB344C">
            <w:pPr>
              <w:spacing w:before="40" w:after="40" w:line="360" w:lineRule="auto"/>
              <w:jc w:val="both"/>
              <w:rPr>
                <w:rFonts w:ascii="Arial" w:hAnsi="Arial" w:cs="Arial"/>
                <w:lang w:eastAsia="sl-SI"/>
              </w:rPr>
            </w:pPr>
            <w:r w:rsidRPr="00BE33CF">
              <w:rPr>
                <w:rFonts w:ascii="Arial" w:hAnsi="Arial" w:cs="Arial"/>
                <w:lang w:eastAsia="sl-SI"/>
              </w:rPr>
              <w:t xml:space="preserve">            </w:t>
            </w:r>
            <w:r w:rsidR="00BF07F4" w:rsidRPr="00BE33CF">
              <w:rPr>
                <w:rFonts w:ascii="Arial" w:hAnsi="Arial" w:cs="Arial"/>
                <w:lang w:eastAsia="sl-SI"/>
              </w:rPr>
              <w:t xml:space="preserve">Interesovanje za kurs je bilo izuzetno veliko što je pokazao i veliki broj </w:t>
            </w:r>
            <w:r w:rsidR="00BE33CF" w:rsidRPr="00BE33CF">
              <w:rPr>
                <w:rFonts w:ascii="Arial" w:hAnsi="Arial" w:cs="Arial"/>
                <w:lang w:eastAsia="sl-SI"/>
              </w:rPr>
              <w:t>slušalaca – 19</w:t>
            </w:r>
            <w:r w:rsidR="00CD0E67">
              <w:rPr>
                <w:rFonts w:ascii="Arial" w:hAnsi="Arial" w:cs="Arial"/>
                <w:lang w:eastAsia="sl-SI"/>
              </w:rPr>
              <w:t>6</w:t>
            </w:r>
            <w:r w:rsidR="00BF07F4" w:rsidRPr="00BE33CF">
              <w:rPr>
                <w:rFonts w:ascii="Arial" w:hAnsi="Arial" w:cs="Arial"/>
                <w:lang w:eastAsia="sl-SI"/>
              </w:rPr>
              <w:t xml:space="preserve">. </w:t>
            </w:r>
            <w:r w:rsidR="00381648" w:rsidRPr="00BE33CF">
              <w:rPr>
                <w:rFonts w:ascii="Arial" w:hAnsi="Arial" w:cs="Arial"/>
                <w:lang w:eastAsia="sl-SI"/>
              </w:rPr>
              <w:t xml:space="preserve">Grupa slušalaca je bila vrlo heterogena, a činili su je </w:t>
            </w:r>
            <w:proofErr w:type="spellStart"/>
            <w:r w:rsidR="00381648" w:rsidRPr="00BE33CF">
              <w:rPr>
                <w:rFonts w:ascii="Arial" w:hAnsi="Arial" w:cs="Arial"/>
                <w:lang w:eastAsia="sl-SI"/>
              </w:rPr>
              <w:t>lekari</w:t>
            </w:r>
            <w:proofErr w:type="spellEnd"/>
            <w:r w:rsidR="00381648" w:rsidRPr="00BE33CF">
              <w:rPr>
                <w:rFonts w:ascii="Arial" w:hAnsi="Arial" w:cs="Arial"/>
                <w:lang w:eastAsia="sl-SI"/>
              </w:rPr>
              <w:t xml:space="preserve"> </w:t>
            </w:r>
            <w:proofErr w:type="spellStart"/>
            <w:r w:rsidR="00381648" w:rsidRPr="00BE33CF">
              <w:rPr>
                <w:rFonts w:ascii="Arial" w:hAnsi="Arial" w:cs="Arial"/>
                <w:lang w:eastAsia="sl-SI"/>
              </w:rPr>
              <w:t>opšte</w:t>
            </w:r>
            <w:proofErr w:type="spellEnd"/>
            <w:r w:rsidR="00381648" w:rsidRPr="00BE33CF">
              <w:rPr>
                <w:rFonts w:ascii="Arial" w:hAnsi="Arial" w:cs="Arial"/>
                <w:lang w:eastAsia="sl-SI"/>
              </w:rPr>
              <w:t xml:space="preserve"> prakse, specijalisti, medicinske sestre, fizioterapeuti, stomatolozi, farmaceuti i biohemičari, sa </w:t>
            </w:r>
            <w:proofErr w:type="spellStart"/>
            <w:r w:rsidR="00381648" w:rsidRPr="00BE33CF">
              <w:rPr>
                <w:rFonts w:ascii="Arial" w:hAnsi="Arial" w:cs="Arial"/>
                <w:lang w:eastAsia="sl-SI"/>
              </w:rPr>
              <w:t>pros</w:t>
            </w:r>
            <w:r w:rsidR="00BE33CF">
              <w:rPr>
                <w:rFonts w:ascii="Arial" w:hAnsi="Arial" w:cs="Arial"/>
                <w:lang w:eastAsia="sl-SI"/>
              </w:rPr>
              <w:t>ekom</w:t>
            </w:r>
            <w:proofErr w:type="spellEnd"/>
            <w:r w:rsidR="00BE33CF">
              <w:rPr>
                <w:rFonts w:ascii="Arial" w:hAnsi="Arial" w:cs="Arial"/>
                <w:lang w:eastAsia="sl-SI"/>
              </w:rPr>
              <w:t xml:space="preserve"> od 18,62</w:t>
            </w:r>
            <w:r w:rsidR="00E709C8" w:rsidRPr="00BE33CF">
              <w:rPr>
                <w:rFonts w:ascii="Arial" w:hAnsi="Arial" w:cs="Arial"/>
                <w:lang w:eastAsia="sl-SI"/>
              </w:rPr>
              <w:t xml:space="preserve"> godina radnog staža</w:t>
            </w:r>
            <w:r w:rsidR="00E709C8" w:rsidRPr="00CD0E67">
              <w:rPr>
                <w:rFonts w:ascii="Arial" w:hAnsi="Arial" w:cs="Arial"/>
                <w:lang w:eastAsia="sl-SI"/>
              </w:rPr>
              <w:t xml:space="preserve">. Ukupno je seminar </w:t>
            </w:r>
            <w:proofErr w:type="spellStart"/>
            <w:r w:rsidR="00E709C8" w:rsidRPr="00CD0E67">
              <w:rPr>
                <w:rFonts w:ascii="Arial" w:hAnsi="Arial" w:cs="Arial"/>
                <w:lang w:eastAsia="sl-SI"/>
              </w:rPr>
              <w:t>poha</w:t>
            </w:r>
            <w:r w:rsidR="00CD0E67" w:rsidRPr="00CD0E67">
              <w:rPr>
                <w:rFonts w:ascii="Arial" w:hAnsi="Arial" w:cs="Arial"/>
                <w:lang w:eastAsia="sl-SI"/>
              </w:rPr>
              <w:t>đalo</w:t>
            </w:r>
            <w:proofErr w:type="spellEnd"/>
            <w:r w:rsidR="00CD0E67" w:rsidRPr="00CD0E67">
              <w:rPr>
                <w:rFonts w:ascii="Arial" w:hAnsi="Arial" w:cs="Arial"/>
                <w:lang w:eastAsia="sl-SI"/>
              </w:rPr>
              <w:t xml:space="preserve"> 35 učesnika muškog pola i 161</w:t>
            </w:r>
            <w:r w:rsidR="00E709C8" w:rsidRPr="00CD0E67">
              <w:rPr>
                <w:rFonts w:ascii="Arial" w:hAnsi="Arial" w:cs="Arial"/>
                <w:lang w:eastAsia="sl-SI"/>
              </w:rPr>
              <w:t xml:space="preserve"> ženskog pola. </w:t>
            </w:r>
            <w:r w:rsidR="00D61D25" w:rsidRPr="00CD0E67">
              <w:rPr>
                <w:rFonts w:ascii="Arial" w:hAnsi="Arial" w:cs="Arial"/>
                <w:lang w:eastAsia="sl-SI"/>
              </w:rPr>
              <w:t>Pr</w:t>
            </w:r>
            <w:r w:rsidR="00BE33CF" w:rsidRPr="00CD0E67">
              <w:rPr>
                <w:rFonts w:ascii="Arial" w:hAnsi="Arial" w:cs="Arial"/>
                <w:lang w:eastAsia="sl-SI"/>
              </w:rPr>
              <w:t>eko</w:t>
            </w:r>
            <w:r w:rsidR="00BE33CF">
              <w:rPr>
                <w:rFonts w:ascii="Arial" w:hAnsi="Arial" w:cs="Arial"/>
                <w:lang w:eastAsia="sl-SI"/>
              </w:rPr>
              <w:t xml:space="preserve"> 25</w:t>
            </w:r>
            <w:r w:rsidR="00D61D25" w:rsidRPr="00BE33CF">
              <w:rPr>
                <w:rFonts w:ascii="Arial" w:hAnsi="Arial" w:cs="Arial"/>
                <w:lang w:eastAsia="sl-SI"/>
              </w:rPr>
              <w:t xml:space="preserve">% njih su visoko obrazovani, po strukturi </w:t>
            </w:r>
            <w:proofErr w:type="spellStart"/>
            <w:r w:rsidR="00D61D25" w:rsidRPr="00BE33CF">
              <w:rPr>
                <w:rFonts w:ascii="Arial" w:hAnsi="Arial" w:cs="Arial"/>
                <w:lang w:eastAsia="sl-SI"/>
              </w:rPr>
              <w:t>lekari</w:t>
            </w:r>
            <w:proofErr w:type="spellEnd"/>
            <w:r w:rsidR="00D61D25" w:rsidRPr="00BE33CF">
              <w:rPr>
                <w:rFonts w:ascii="Arial" w:hAnsi="Arial" w:cs="Arial"/>
                <w:lang w:eastAsia="sl-SI"/>
              </w:rPr>
              <w:t xml:space="preserve"> i </w:t>
            </w:r>
            <w:proofErr w:type="spellStart"/>
            <w:r w:rsidR="00D61D25" w:rsidRPr="00BE33CF">
              <w:rPr>
                <w:rFonts w:ascii="Arial" w:hAnsi="Arial" w:cs="Arial"/>
                <w:lang w:eastAsia="sl-SI"/>
              </w:rPr>
              <w:t>farmaceuti.Učesnici</w:t>
            </w:r>
            <w:proofErr w:type="spellEnd"/>
            <w:r w:rsidR="00D61D25" w:rsidRPr="00BE33CF">
              <w:rPr>
                <w:rFonts w:ascii="Arial" w:hAnsi="Arial" w:cs="Arial"/>
                <w:lang w:eastAsia="sl-SI"/>
              </w:rPr>
              <w:t xml:space="preserve"> su visokim </w:t>
            </w:r>
            <w:proofErr w:type="spellStart"/>
            <w:r w:rsidR="00D61D25" w:rsidRPr="00BE33CF">
              <w:rPr>
                <w:rFonts w:ascii="Arial" w:hAnsi="Arial" w:cs="Arial"/>
                <w:lang w:eastAsia="sl-SI"/>
              </w:rPr>
              <w:t>ocenama</w:t>
            </w:r>
            <w:proofErr w:type="spellEnd"/>
            <w:r w:rsidR="00D61D25" w:rsidRPr="00BE33CF">
              <w:rPr>
                <w:rFonts w:ascii="Arial" w:hAnsi="Arial" w:cs="Arial"/>
                <w:lang w:eastAsia="sl-SI"/>
              </w:rPr>
              <w:t xml:space="preserve"> </w:t>
            </w:r>
            <w:proofErr w:type="spellStart"/>
            <w:r w:rsidR="00D61D25" w:rsidRPr="00BE33CF">
              <w:rPr>
                <w:rFonts w:ascii="Arial" w:hAnsi="Arial" w:cs="Arial"/>
                <w:lang w:eastAsia="sl-SI"/>
              </w:rPr>
              <w:t>ocenili</w:t>
            </w:r>
            <w:proofErr w:type="spellEnd"/>
            <w:r w:rsidR="00D61D25" w:rsidRPr="00BE33CF">
              <w:rPr>
                <w:rFonts w:ascii="Arial" w:hAnsi="Arial" w:cs="Arial"/>
                <w:lang w:eastAsia="sl-SI"/>
              </w:rPr>
              <w:t xml:space="preserve"> izbor tema edukacije, sadržaj programa edukacije, </w:t>
            </w:r>
            <w:proofErr w:type="spellStart"/>
            <w:r w:rsidR="00D61D25" w:rsidRPr="00BE33CF">
              <w:rPr>
                <w:rFonts w:ascii="Arial" w:hAnsi="Arial" w:cs="Arial"/>
                <w:lang w:eastAsia="sl-SI"/>
              </w:rPr>
              <w:t>korišćene</w:t>
            </w:r>
            <w:proofErr w:type="spellEnd"/>
            <w:r w:rsidR="00D61D25" w:rsidRPr="00BE33CF">
              <w:rPr>
                <w:rFonts w:ascii="Arial" w:hAnsi="Arial" w:cs="Arial"/>
                <w:lang w:eastAsia="sl-SI"/>
              </w:rPr>
              <w:t xml:space="preserve"> metode, tr</w:t>
            </w:r>
            <w:r w:rsidR="00BE33CF">
              <w:rPr>
                <w:rFonts w:ascii="Arial" w:hAnsi="Arial" w:cs="Arial"/>
                <w:lang w:eastAsia="sl-SI"/>
              </w:rPr>
              <w:t>a</w:t>
            </w:r>
            <w:r w:rsidR="00D61D25" w:rsidRPr="00BE33CF">
              <w:rPr>
                <w:rFonts w:ascii="Arial" w:hAnsi="Arial" w:cs="Arial"/>
                <w:lang w:eastAsia="sl-SI"/>
              </w:rPr>
              <w:t>j</w:t>
            </w:r>
            <w:r w:rsidR="00BE33CF">
              <w:rPr>
                <w:rFonts w:ascii="Arial" w:hAnsi="Arial" w:cs="Arial"/>
                <w:lang w:eastAsia="sl-SI"/>
              </w:rPr>
              <w:t>anje i organizaciju edukacije. 8</w:t>
            </w:r>
            <w:r w:rsidR="00D61D25" w:rsidRPr="00BE33CF">
              <w:rPr>
                <w:rFonts w:ascii="Arial" w:hAnsi="Arial" w:cs="Arial"/>
                <w:lang w:eastAsia="sl-SI"/>
              </w:rPr>
              <w:t xml:space="preserve">0% njih je </w:t>
            </w:r>
            <w:proofErr w:type="spellStart"/>
            <w:r w:rsidR="00D61D25" w:rsidRPr="00BE33CF">
              <w:rPr>
                <w:rFonts w:ascii="Arial" w:hAnsi="Arial" w:cs="Arial"/>
                <w:lang w:eastAsia="sl-SI"/>
              </w:rPr>
              <w:t>ocenilo</w:t>
            </w:r>
            <w:proofErr w:type="spellEnd"/>
            <w:r w:rsidR="00D61D25" w:rsidRPr="00BE33CF">
              <w:rPr>
                <w:rFonts w:ascii="Arial" w:hAnsi="Arial" w:cs="Arial"/>
                <w:lang w:eastAsia="sl-SI"/>
              </w:rPr>
              <w:t xml:space="preserve"> da će znanja stečena tokom edukacije koristiti često ili stalno u svakodnevnoj praksi. </w:t>
            </w:r>
            <w:r w:rsidR="00B27A29" w:rsidRPr="00BE33CF">
              <w:rPr>
                <w:rFonts w:ascii="Arial" w:hAnsi="Arial" w:cs="Arial"/>
                <w:lang w:eastAsia="sl-SI"/>
              </w:rPr>
              <w:t xml:space="preserve">Učesnici su se u </w:t>
            </w:r>
            <w:proofErr w:type="spellStart"/>
            <w:r w:rsidR="00B27A29" w:rsidRPr="00BE33CF">
              <w:rPr>
                <w:rFonts w:ascii="Arial" w:hAnsi="Arial" w:cs="Arial"/>
                <w:lang w:eastAsia="sl-SI"/>
              </w:rPr>
              <w:t>evaluacionom</w:t>
            </w:r>
            <w:proofErr w:type="spellEnd"/>
            <w:r w:rsidR="00B27A29" w:rsidRPr="00BE33CF">
              <w:rPr>
                <w:rFonts w:ascii="Arial" w:hAnsi="Arial" w:cs="Arial"/>
                <w:lang w:eastAsia="sl-SI"/>
              </w:rPr>
              <w:t xml:space="preserve"> upitniku  izjasnili da je nastava bila laka za </w:t>
            </w:r>
            <w:proofErr w:type="spellStart"/>
            <w:r w:rsidR="00B27A29" w:rsidRPr="00BE33CF">
              <w:rPr>
                <w:rFonts w:ascii="Arial" w:hAnsi="Arial" w:cs="Arial"/>
                <w:lang w:eastAsia="sl-SI"/>
              </w:rPr>
              <w:t>razumevanje</w:t>
            </w:r>
            <w:proofErr w:type="spellEnd"/>
            <w:r w:rsidR="00B27A29" w:rsidRPr="00BE33CF">
              <w:rPr>
                <w:rFonts w:ascii="Arial" w:hAnsi="Arial" w:cs="Arial"/>
                <w:lang w:eastAsia="sl-SI"/>
              </w:rPr>
              <w:t>, a</w:t>
            </w:r>
            <w:r w:rsidR="00BE33CF">
              <w:rPr>
                <w:rFonts w:ascii="Arial" w:hAnsi="Arial" w:cs="Arial"/>
                <w:lang w:eastAsia="sl-SI"/>
              </w:rPr>
              <w:t xml:space="preserve"> s</w:t>
            </w:r>
            <w:r w:rsidR="004C7EF3">
              <w:rPr>
                <w:rFonts w:ascii="Arial" w:hAnsi="Arial" w:cs="Arial"/>
                <w:lang w:eastAsia="sl-SI"/>
              </w:rPr>
              <w:t>k</w:t>
            </w:r>
            <w:r w:rsidR="00BE33CF">
              <w:rPr>
                <w:rFonts w:ascii="Arial" w:hAnsi="Arial" w:cs="Arial"/>
                <w:lang w:eastAsia="sl-SI"/>
              </w:rPr>
              <w:t>oro svi</w:t>
            </w:r>
            <w:r w:rsidR="004C7EF3">
              <w:rPr>
                <w:rFonts w:ascii="Arial" w:hAnsi="Arial" w:cs="Arial"/>
                <w:lang w:eastAsia="sl-SI"/>
              </w:rPr>
              <w:t xml:space="preserve"> su se</w:t>
            </w:r>
            <w:r w:rsidR="00BE33CF">
              <w:rPr>
                <w:rFonts w:ascii="Arial" w:hAnsi="Arial" w:cs="Arial"/>
                <w:lang w:eastAsia="sl-SI"/>
              </w:rPr>
              <w:t xml:space="preserve"> izjasnili i da su</w:t>
            </w:r>
            <w:r w:rsidR="00B27A29" w:rsidRPr="00BE33CF">
              <w:rPr>
                <w:rFonts w:ascii="Arial" w:hAnsi="Arial" w:cs="Arial"/>
                <w:lang w:eastAsia="sl-SI"/>
              </w:rPr>
              <w:t xml:space="preserve"> aktivno učestvovali u procesu </w:t>
            </w:r>
            <w:proofErr w:type="spellStart"/>
            <w:r w:rsidR="00B27A29" w:rsidRPr="00BE33CF">
              <w:rPr>
                <w:rFonts w:ascii="Arial" w:hAnsi="Arial" w:cs="Arial"/>
                <w:lang w:eastAsia="sl-SI"/>
              </w:rPr>
              <w:t>učenja.Svaki</w:t>
            </w:r>
            <w:proofErr w:type="spellEnd"/>
            <w:r w:rsidR="00B27A29" w:rsidRPr="00BE33CF">
              <w:rPr>
                <w:rFonts w:ascii="Arial" w:hAnsi="Arial" w:cs="Arial"/>
                <w:lang w:eastAsia="sl-SI"/>
              </w:rPr>
              <w:t xml:space="preserve"> od </w:t>
            </w:r>
            <w:proofErr w:type="spellStart"/>
            <w:r w:rsidR="00B27A29" w:rsidRPr="00BE33CF">
              <w:rPr>
                <w:rFonts w:ascii="Arial" w:hAnsi="Arial" w:cs="Arial"/>
                <w:lang w:eastAsia="sl-SI"/>
              </w:rPr>
              <w:t>predavača</w:t>
            </w:r>
            <w:proofErr w:type="spellEnd"/>
            <w:r w:rsidR="00B27A29" w:rsidRPr="00BE33CF">
              <w:rPr>
                <w:rFonts w:ascii="Arial" w:hAnsi="Arial" w:cs="Arial"/>
                <w:lang w:eastAsia="sl-SI"/>
              </w:rPr>
              <w:t xml:space="preserve"> je bio pojedinačno ocenjivan od strane učesnika, i sv</w:t>
            </w:r>
            <w:r w:rsidR="00163BAF" w:rsidRPr="00BE33CF">
              <w:rPr>
                <w:rFonts w:ascii="Arial" w:hAnsi="Arial" w:cs="Arial"/>
                <w:lang w:eastAsia="sl-SI"/>
              </w:rPr>
              <w:t>a</w:t>
            </w:r>
            <w:r w:rsidR="00B27A29" w:rsidRPr="00BE33CF">
              <w:rPr>
                <w:rFonts w:ascii="Arial" w:hAnsi="Arial" w:cs="Arial"/>
                <w:lang w:eastAsia="sl-SI"/>
              </w:rPr>
              <w:t xml:space="preserve">ki je dobio prosečnu </w:t>
            </w:r>
            <w:proofErr w:type="spellStart"/>
            <w:r w:rsidR="00B27A29" w:rsidRPr="00BE33CF">
              <w:rPr>
                <w:rFonts w:ascii="Arial" w:hAnsi="Arial" w:cs="Arial"/>
                <w:lang w:eastAsia="sl-SI"/>
              </w:rPr>
              <w:t>ocenu</w:t>
            </w:r>
            <w:proofErr w:type="spellEnd"/>
            <w:r w:rsidR="00B27A29" w:rsidRPr="00BE33CF">
              <w:rPr>
                <w:rFonts w:ascii="Arial" w:hAnsi="Arial" w:cs="Arial"/>
                <w:lang w:eastAsia="sl-SI"/>
              </w:rPr>
              <w:t xml:space="preserve"> </w:t>
            </w:r>
            <w:proofErr w:type="spellStart"/>
            <w:r w:rsidR="00B27A29" w:rsidRPr="00BE33CF">
              <w:rPr>
                <w:rFonts w:ascii="Arial" w:hAnsi="Arial" w:cs="Arial"/>
                <w:lang w:eastAsia="sl-SI"/>
              </w:rPr>
              <w:t>izmedju</w:t>
            </w:r>
            <w:proofErr w:type="spellEnd"/>
            <w:r w:rsidR="00B27A29" w:rsidRPr="00BE33CF">
              <w:rPr>
                <w:rFonts w:ascii="Arial" w:hAnsi="Arial" w:cs="Arial"/>
                <w:lang w:eastAsia="sl-SI"/>
              </w:rPr>
              <w:t xml:space="preserve"> 4,</w:t>
            </w:r>
            <w:r w:rsidR="00BE33CF">
              <w:rPr>
                <w:rFonts w:ascii="Arial" w:hAnsi="Arial" w:cs="Arial"/>
                <w:lang w:eastAsia="sl-SI"/>
              </w:rPr>
              <w:t>92 i 4,98</w:t>
            </w:r>
            <w:r w:rsidR="00163BAF" w:rsidRPr="00BE33CF">
              <w:rPr>
                <w:rFonts w:ascii="Arial" w:hAnsi="Arial" w:cs="Arial"/>
                <w:lang w:eastAsia="sl-SI"/>
              </w:rPr>
              <w:t>.</w:t>
            </w:r>
          </w:p>
          <w:p w:rsidR="001F511D" w:rsidRPr="001F511D" w:rsidRDefault="00EC22B3" w:rsidP="00DB344C">
            <w:pPr>
              <w:spacing w:before="40" w:after="40" w:line="360" w:lineRule="auto"/>
              <w:jc w:val="both"/>
              <w:rPr>
                <w:rFonts w:ascii="Arial" w:hAnsi="Arial" w:cs="Arial"/>
                <w:lang w:eastAsia="sl-SI"/>
              </w:rPr>
            </w:pPr>
            <w:r w:rsidRPr="00BE33CF">
              <w:rPr>
                <w:rFonts w:ascii="Arial" w:hAnsi="Arial" w:cs="Arial"/>
                <w:lang w:eastAsia="sl-SI"/>
              </w:rPr>
              <w:t xml:space="preserve">            </w:t>
            </w:r>
            <w:r w:rsidR="00163BAF" w:rsidRPr="00BE33CF">
              <w:rPr>
                <w:rFonts w:ascii="Arial" w:hAnsi="Arial" w:cs="Arial"/>
                <w:lang w:eastAsia="sl-SI"/>
              </w:rPr>
              <w:t xml:space="preserve">Učesnicima je data </w:t>
            </w:r>
            <w:proofErr w:type="spellStart"/>
            <w:r w:rsidR="00163BAF" w:rsidRPr="00BE33CF">
              <w:rPr>
                <w:rFonts w:ascii="Arial" w:hAnsi="Arial" w:cs="Arial"/>
                <w:lang w:eastAsia="sl-SI"/>
              </w:rPr>
              <w:t>mogućnost</w:t>
            </w:r>
            <w:proofErr w:type="spellEnd"/>
            <w:r w:rsidR="00163BAF" w:rsidRPr="00BE33CF">
              <w:rPr>
                <w:rFonts w:ascii="Arial" w:hAnsi="Arial" w:cs="Arial"/>
                <w:lang w:eastAsia="sl-SI"/>
              </w:rPr>
              <w:t xml:space="preserve"> i da ostave lični komentar na </w:t>
            </w:r>
            <w:proofErr w:type="spellStart"/>
            <w:r w:rsidR="00163BAF" w:rsidRPr="00BE33CF">
              <w:rPr>
                <w:rFonts w:ascii="Arial" w:hAnsi="Arial" w:cs="Arial"/>
                <w:lang w:eastAsia="sl-SI"/>
              </w:rPr>
              <w:t>evaluacionom</w:t>
            </w:r>
            <w:proofErr w:type="spellEnd"/>
            <w:r w:rsidR="00163BAF" w:rsidRPr="00BE33CF">
              <w:rPr>
                <w:rFonts w:ascii="Arial" w:hAnsi="Arial" w:cs="Arial"/>
                <w:lang w:eastAsia="sl-SI"/>
              </w:rPr>
              <w:t xml:space="preserve"> upitniku što je </w:t>
            </w:r>
            <w:r w:rsidR="004C7EF3">
              <w:rPr>
                <w:rFonts w:ascii="Arial" w:hAnsi="Arial" w:cs="Arial"/>
                <w:lang w:eastAsia="sl-SI"/>
              </w:rPr>
              <w:t xml:space="preserve">jedan </w:t>
            </w:r>
            <w:r w:rsidR="00163BAF" w:rsidRPr="00BE33CF">
              <w:rPr>
                <w:rFonts w:ascii="Arial" w:hAnsi="Arial" w:cs="Arial"/>
                <w:lang w:eastAsia="sl-SI"/>
              </w:rPr>
              <w:t xml:space="preserve">broj njih i učinio. Komentari su se odnosili na </w:t>
            </w:r>
            <w:proofErr w:type="spellStart"/>
            <w:r w:rsidR="00163BAF" w:rsidRPr="00BE33CF">
              <w:rPr>
                <w:rFonts w:ascii="Arial" w:hAnsi="Arial" w:cs="Arial"/>
                <w:lang w:eastAsia="sl-SI"/>
              </w:rPr>
              <w:t>primedbe</w:t>
            </w:r>
            <w:proofErr w:type="spellEnd"/>
            <w:r w:rsidR="00163BAF" w:rsidRPr="00BE33CF">
              <w:rPr>
                <w:rFonts w:ascii="Arial" w:hAnsi="Arial" w:cs="Arial"/>
                <w:lang w:eastAsia="sl-SI"/>
              </w:rPr>
              <w:t>, sugestij</w:t>
            </w:r>
            <w:r w:rsidR="001F511D">
              <w:rPr>
                <w:rFonts w:ascii="Arial" w:hAnsi="Arial" w:cs="Arial"/>
                <w:lang w:eastAsia="sl-SI"/>
              </w:rPr>
              <w:t xml:space="preserve">e i pohvale, ali i </w:t>
            </w:r>
            <w:proofErr w:type="spellStart"/>
            <w:r w:rsidR="001F511D">
              <w:rPr>
                <w:rFonts w:ascii="Arial" w:hAnsi="Arial" w:cs="Arial"/>
                <w:lang w:eastAsia="sl-SI"/>
              </w:rPr>
              <w:t>predlog</w:t>
            </w:r>
            <w:proofErr w:type="spellEnd"/>
            <w:r w:rsidR="001F511D">
              <w:rPr>
                <w:rFonts w:ascii="Arial" w:hAnsi="Arial" w:cs="Arial"/>
                <w:lang w:eastAsia="sl-SI"/>
              </w:rPr>
              <w:t xml:space="preserve"> tema,</w:t>
            </w:r>
            <w:r w:rsidR="00163BAF" w:rsidRPr="00BE33CF">
              <w:rPr>
                <w:rFonts w:ascii="Arial" w:hAnsi="Arial" w:cs="Arial"/>
                <w:lang w:eastAsia="sl-SI"/>
              </w:rPr>
              <w:t xml:space="preserve"> </w:t>
            </w:r>
            <w:proofErr w:type="spellStart"/>
            <w:r w:rsidR="00163BAF" w:rsidRPr="00BE33CF">
              <w:rPr>
                <w:rFonts w:ascii="Arial" w:hAnsi="Arial" w:cs="Arial"/>
                <w:lang w:eastAsia="sl-SI"/>
              </w:rPr>
              <w:t>predavača</w:t>
            </w:r>
            <w:proofErr w:type="spellEnd"/>
            <w:r w:rsidR="00163BAF" w:rsidRPr="00BE33CF">
              <w:rPr>
                <w:rFonts w:ascii="Arial" w:hAnsi="Arial" w:cs="Arial"/>
                <w:lang w:eastAsia="sl-SI"/>
              </w:rPr>
              <w:t xml:space="preserve"> i metoda na sledećem programu kontinuirane edukacije. Neki od </w:t>
            </w:r>
            <w:proofErr w:type="spellStart"/>
            <w:r w:rsidR="00163BAF" w:rsidRPr="00BE33CF">
              <w:rPr>
                <w:rFonts w:ascii="Arial" w:hAnsi="Arial" w:cs="Arial"/>
                <w:lang w:eastAsia="sl-SI"/>
              </w:rPr>
              <w:t>pre</w:t>
            </w:r>
            <w:r w:rsidR="001F511D">
              <w:rPr>
                <w:rFonts w:ascii="Arial" w:hAnsi="Arial" w:cs="Arial"/>
                <w:lang w:eastAsia="sl-SI"/>
              </w:rPr>
              <w:t>d</w:t>
            </w:r>
            <w:r w:rsidR="00163BAF" w:rsidRPr="00BE33CF">
              <w:rPr>
                <w:rFonts w:ascii="Arial" w:hAnsi="Arial" w:cs="Arial"/>
                <w:lang w:eastAsia="sl-SI"/>
              </w:rPr>
              <w:t>loga</w:t>
            </w:r>
            <w:proofErr w:type="spellEnd"/>
            <w:r w:rsidR="00163BAF" w:rsidRPr="00BE33CF">
              <w:rPr>
                <w:rFonts w:ascii="Arial" w:hAnsi="Arial" w:cs="Arial"/>
                <w:lang w:eastAsia="sl-SI"/>
              </w:rPr>
              <w:t xml:space="preserve"> su bili da se kroz buduće seminare </w:t>
            </w:r>
            <w:r w:rsidR="00163BAF" w:rsidRPr="001F511D">
              <w:rPr>
                <w:rFonts w:ascii="Arial" w:hAnsi="Arial" w:cs="Arial"/>
                <w:lang w:eastAsia="sl-SI"/>
              </w:rPr>
              <w:t xml:space="preserve">obrade teme </w:t>
            </w:r>
            <w:r w:rsidR="001F511D" w:rsidRPr="001F511D">
              <w:rPr>
                <w:rFonts w:ascii="Arial" w:hAnsi="Arial" w:cs="Arial"/>
                <w:lang w:eastAsia="sl-SI"/>
              </w:rPr>
              <w:t xml:space="preserve">reumatskog bola i karcinoma pluća. </w:t>
            </w:r>
          </w:p>
          <w:p w:rsidR="00BF07F4" w:rsidRDefault="00D003E4" w:rsidP="00DB344C">
            <w:pPr>
              <w:spacing w:before="40" w:after="40" w:line="360" w:lineRule="auto"/>
              <w:jc w:val="both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 xml:space="preserve">          </w:t>
            </w:r>
            <w:proofErr w:type="spellStart"/>
            <w:r w:rsidR="0057202D" w:rsidRPr="001F511D">
              <w:rPr>
                <w:rFonts w:ascii="Arial" w:hAnsi="Arial" w:cs="Arial"/>
                <w:lang w:eastAsia="sl-SI"/>
              </w:rPr>
              <w:t>E</w:t>
            </w:r>
            <w:r w:rsidR="00BF07F4" w:rsidRPr="001F511D">
              <w:rPr>
                <w:rFonts w:ascii="Arial" w:hAnsi="Arial" w:cs="Arial"/>
                <w:lang w:eastAsia="sl-SI"/>
              </w:rPr>
              <w:t>valuacioni</w:t>
            </w:r>
            <w:proofErr w:type="spellEnd"/>
            <w:r w:rsidR="00BF07F4" w:rsidRPr="001F511D">
              <w:rPr>
                <w:rFonts w:ascii="Arial" w:hAnsi="Arial" w:cs="Arial"/>
                <w:lang w:eastAsia="sl-SI"/>
              </w:rPr>
              <w:t xml:space="preserve"> upitnik</w:t>
            </w:r>
            <w:r w:rsidR="0057202D" w:rsidRPr="001F511D">
              <w:rPr>
                <w:rFonts w:ascii="Arial" w:hAnsi="Arial" w:cs="Arial"/>
                <w:lang w:eastAsia="sl-SI"/>
              </w:rPr>
              <w:t xml:space="preserve"> je</w:t>
            </w:r>
            <w:r w:rsidR="00BE33CF" w:rsidRPr="001F511D">
              <w:rPr>
                <w:rFonts w:ascii="Arial" w:hAnsi="Arial" w:cs="Arial"/>
                <w:lang w:eastAsia="sl-SI"/>
              </w:rPr>
              <w:t xml:space="preserve"> </w:t>
            </w:r>
            <w:r w:rsidR="0057202D" w:rsidRPr="001F511D">
              <w:rPr>
                <w:rFonts w:ascii="Arial" w:hAnsi="Arial" w:cs="Arial"/>
                <w:lang w:eastAsia="sl-SI"/>
              </w:rPr>
              <w:t>analiziran</w:t>
            </w:r>
            <w:r w:rsidR="00BF07F4" w:rsidRPr="001F511D">
              <w:rPr>
                <w:rFonts w:ascii="Arial" w:hAnsi="Arial" w:cs="Arial"/>
                <w:lang w:eastAsia="sl-SI"/>
              </w:rPr>
              <w:t>, a rezultati su dati u prilogu ovog dokumenta.</w:t>
            </w:r>
            <w:r w:rsidR="00BF07F4" w:rsidRPr="00BE33CF">
              <w:rPr>
                <w:rFonts w:ascii="Arial" w:hAnsi="Arial" w:cs="Arial"/>
                <w:lang w:eastAsia="sl-SI"/>
              </w:rPr>
              <w:t xml:space="preserve"> </w:t>
            </w:r>
            <w:r>
              <w:rPr>
                <w:rFonts w:ascii="Arial" w:hAnsi="Arial" w:cs="Arial"/>
                <w:lang w:eastAsia="sl-SI"/>
              </w:rPr>
              <w:t xml:space="preserve"> </w:t>
            </w:r>
            <w:r w:rsidR="00BF07F4" w:rsidRPr="00BE33CF">
              <w:rPr>
                <w:rFonts w:ascii="Arial" w:hAnsi="Arial" w:cs="Arial"/>
                <w:lang w:eastAsia="sl-SI"/>
              </w:rPr>
              <w:t>Učesnici su sveukupni utisak o održanom semina</w:t>
            </w:r>
            <w:r w:rsidR="001F511D">
              <w:rPr>
                <w:rFonts w:ascii="Arial" w:hAnsi="Arial" w:cs="Arial"/>
                <w:lang w:eastAsia="sl-SI"/>
              </w:rPr>
              <w:t xml:space="preserve">ru </w:t>
            </w:r>
            <w:proofErr w:type="spellStart"/>
            <w:r w:rsidR="001F511D">
              <w:rPr>
                <w:rFonts w:ascii="Arial" w:hAnsi="Arial" w:cs="Arial"/>
                <w:lang w:eastAsia="sl-SI"/>
              </w:rPr>
              <w:t>ocenili</w:t>
            </w:r>
            <w:proofErr w:type="spellEnd"/>
            <w:r w:rsidR="001F511D">
              <w:rPr>
                <w:rFonts w:ascii="Arial" w:hAnsi="Arial" w:cs="Arial"/>
                <w:lang w:eastAsia="sl-SI"/>
              </w:rPr>
              <w:t xml:space="preserve"> prosečnom </w:t>
            </w:r>
            <w:proofErr w:type="spellStart"/>
            <w:r w:rsidR="001F511D">
              <w:rPr>
                <w:rFonts w:ascii="Arial" w:hAnsi="Arial" w:cs="Arial"/>
                <w:lang w:eastAsia="sl-SI"/>
              </w:rPr>
              <w:t>ocenom</w:t>
            </w:r>
            <w:proofErr w:type="spellEnd"/>
            <w:r w:rsidR="001F511D">
              <w:rPr>
                <w:rFonts w:ascii="Arial" w:hAnsi="Arial" w:cs="Arial"/>
                <w:lang w:eastAsia="sl-SI"/>
              </w:rPr>
              <w:t xml:space="preserve"> 4,96</w:t>
            </w:r>
            <w:r w:rsidR="00BF07F4" w:rsidRPr="00BE33CF">
              <w:rPr>
                <w:rFonts w:ascii="Arial" w:hAnsi="Arial" w:cs="Arial"/>
                <w:lang w:eastAsia="sl-SI"/>
              </w:rPr>
              <w:t xml:space="preserve">  (od 5).</w:t>
            </w:r>
          </w:p>
          <w:p w:rsidR="00CD0E67" w:rsidRPr="00BE33CF" w:rsidRDefault="00CD0E67" w:rsidP="00DB344C">
            <w:pPr>
              <w:spacing w:before="40" w:after="40" w:line="360" w:lineRule="auto"/>
              <w:jc w:val="both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Seminar je pratila lokalna televizijska ekipa koja je o istom pripremila reportažu.</w:t>
            </w:r>
          </w:p>
          <w:p w:rsidR="008141F4" w:rsidRPr="00E55B7D" w:rsidRDefault="008141F4" w:rsidP="00DB344C">
            <w:pPr>
              <w:spacing w:before="40" w:after="40"/>
              <w:jc w:val="both"/>
              <w:rPr>
                <w:rFonts w:ascii="Arial" w:hAnsi="Arial" w:cs="Arial"/>
                <w:color w:val="404040"/>
                <w:lang w:eastAsia="sl-SI"/>
              </w:rPr>
            </w:pPr>
          </w:p>
        </w:tc>
      </w:tr>
    </w:tbl>
    <w:p w:rsidR="00A164AF" w:rsidRDefault="00A164AF" w:rsidP="00DB344C">
      <w:pPr>
        <w:jc w:val="both"/>
        <w:rPr>
          <w:rFonts w:cs="Arial"/>
          <w:b/>
          <w:color w:val="000000" w:themeColor="text1"/>
          <w:sz w:val="32"/>
          <w:szCs w:val="32"/>
          <w:lang w:val="sl-SI" w:eastAsia="sl-SI"/>
        </w:rPr>
      </w:pPr>
    </w:p>
    <w:p w:rsidR="00A164AF" w:rsidRDefault="00A164AF" w:rsidP="00DB344C">
      <w:pPr>
        <w:jc w:val="both"/>
        <w:rPr>
          <w:rFonts w:cs="Arial"/>
          <w:b/>
          <w:color w:val="000000" w:themeColor="text1"/>
          <w:sz w:val="32"/>
          <w:szCs w:val="32"/>
          <w:lang w:val="sl-SI" w:eastAsia="sl-SI"/>
        </w:rPr>
      </w:pPr>
    </w:p>
    <w:p w:rsidR="00BF07F4" w:rsidRDefault="00BF07F4" w:rsidP="00DB344C">
      <w:pPr>
        <w:jc w:val="both"/>
        <w:rPr>
          <w:rFonts w:cs="Arial"/>
          <w:b/>
          <w:color w:val="000000" w:themeColor="text1"/>
          <w:sz w:val="32"/>
          <w:szCs w:val="32"/>
          <w:lang w:val="sl-SI" w:eastAsia="sl-SI"/>
        </w:rPr>
      </w:pPr>
    </w:p>
    <w:p w:rsidR="00BF07F4" w:rsidRDefault="00BF07F4" w:rsidP="00DB344C">
      <w:pPr>
        <w:jc w:val="both"/>
        <w:rPr>
          <w:rFonts w:cs="Arial"/>
          <w:b/>
          <w:color w:val="000000" w:themeColor="text1"/>
          <w:sz w:val="32"/>
          <w:szCs w:val="32"/>
          <w:lang w:val="sl-SI" w:eastAsia="sl-SI"/>
        </w:rPr>
      </w:pPr>
    </w:p>
    <w:p w:rsidR="00BF07F4" w:rsidRDefault="00BF07F4" w:rsidP="00DB344C">
      <w:pPr>
        <w:jc w:val="both"/>
        <w:rPr>
          <w:rFonts w:cs="Arial"/>
          <w:b/>
          <w:color w:val="000000" w:themeColor="text1"/>
          <w:sz w:val="32"/>
          <w:szCs w:val="32"/>
          <w:lang w:val="sl-SI" w:eastAsia="sl-SI"/>
        </w:rPr>
      </w:pPr>
    </w:p>
    <w:p w:rsidR="00F95DB1" w:rsidRDefault="00F95DB1" w:rsidP="00DB344C">
      <w:pPr>
        <w:jc w:val="both"/>
        <w:rPr>
          <w:rFonts w:cs="Arial"/>
          <w:b/>
          <w:color w:val="000000" w:themeColor="text1"/>
          <w:sz w:val="32"/>
          <w:szCs w:val="32"/>
          <w:lang w:val="sl-SI" w:eastAsia="sl-SI"/>
        </w:rPr>
      </w:pPr>
    </w:p>
    <w:p w:rsidR="008141F4" w:rsidRDefault="007A049E" w:rsidP="00DB344C">
      <w:pPr>
        <w:jc w:val="both"/>
        <w:rPr>
          <w:rFonts w:cs="Arial"/>
          <w:b/>
          <w:color w:val="000000" w:themeColor="text1"/>
          <w:sz w:val="32"/>
          <w:szCs w:val="32"/>
          <w:lang w:val="sl-SI" w:eastAsia="sl-SI"/>
        </w:rPr>
      </w:pPr>
      <w:r w:rsidRPr="008141F4">
        <w:rPr>
          <w:rFonts w:cs="Arial"/>
          <w:b/>
          <w:color w:val="000000" w:themeColor="text1"/>
          <w:sz w:val="32"/>
          <w:szCs w:val="32"/>
          <w:lang w:val="sl-SI" w:eastAsia="sl-SI"/>
        </w:rPr>
        <w:lastRenderedPageBreak/>
        <w:t>Attachments</w:t>
      </w:r>
    </w:p>
    <w:p w:rsidR="00FC6962" w:rsidRPr="008141F4" w:rsidRDefault="00FC6962" w:rsidP="00DB344C">
      <w:pPr>
        <w:jc w:val="both"/>
        <w:rPr>
          <w:rFonts w:cs="Arial"/>
          <w:color w:val="000000" w:themeColor="text1"/>
          <w:sz w:val="32"/>
          <w:szCs w:val="32"/>
          <w:lang w:val="sl-SI" w:eastAsia="sl-SI"/>
        </w:rPr>
      </w:pPr>
    </w:p>
    <w:tbl>
      <w:tblPr>
        <w:tblW w:w="9072" w:type="dxa"/>
        <w:jc w:val="center"/>
        <w:tblBorders>
          <w:top w:val="single" w:sz="4" w:space="0" w:color="215868"/>
          <w:left w:val="single" w:sz="4" w:space="0" w:color="215868"/>
          <w:bottom w:val="single" w:sz="4" w:space="0" w:color="215868"/>
          <w:right w:val="single" w:sz="4" w:space="0" w:color="215868"/>
          <w:insideH w:val="single" w:sz="4" w:space="0" w:color="215868"/>
          <w:insideV w:val="single" w:sz="4" w:space="0" w:color="215868"/>
        </w:tblBorders>
        <w:tblLayout w:type="fixed"/>
        <w:tblLook w:val="0000" w:firstRow="0" w:lastRow="0" w:firstColumn="0" w:lastColumn="0" w:noHBand="0" w:noVBand="0"/>
      </w:tblPr>
      <w:tblGrid>
        <w:gridCol w:w="3294"/>
        <w:gridCol w:w="5778"/>
      </w:tblGrid>
      <w:tr w:rsidR="008141F4" w:rsidRPr="008141F4" w:rsidTr="006F3E14">
        <w:trPr>
          <w:trHeight w:val="95"/>
          <w:jc w:val="center"/>
        </w:trPr>
        <w:tc>
          <w:tcPr>
            <w:tcW w:w="3294" w:type="dxa"/>
            <w:shd w:val="clear" w:color="auto" w:fill="D99594" w:themeFill="accent2" w:themeFillTint="99"/>
          </w:tcPr>
          <w:p w:rsidR="008141F4" w:rsidRPr="007A049E" w:rsidRDefault="008141F4" w:rsidP="00DB344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</w:pPr>
            <w:r w:rsidRPr="007A049E"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  <w:t>Agenda (pdf)</w:t>
            </w:r>
          </w:p>
        </w:tc>
        <w:tc>
          <w:tcPr>
            <w:tcW w:w="5778" w:type="dxa"/>
          </w:tcPr>
          <w:p w:rsidR="008141F4" w:rsidRPr="00127D6B" w:rsidRDefault="00FA6392" w:rsidP="00DB344C">
            <w:pPr>
              <w:autoSpaceDE w:val="0"/>
              <w:autoSpaceDN w:val="0"/>
              <w:adjustRightInd w:val="0"/>
              <w:jc w:val="both"/>
              <w:rPr>
                <w:rFonts w:ascii="BookAntiqua" w:eastAsia="Times New Roman" w:hAnsi="BookAntiqua" w:cs="BookAntiqua"/>
                <w:sz w:val="22"/>
                <w:lang w:val="en-US"/>
              </w:rPr>
            </w:pPr>
            <w:r w:rsidRPr="003E6225">
              <w:rPr>
                <w:rFonts w:cs="Arial"/>
                <w:color w:val="000000" w:themeColor="text1"/>
                <w:sz w:val="22"/>
                <w:lang w:val="sl-SI" w:eastAsia="sl-SI"/>
              </w:rPr>
              <w:t xml:space="preserve">Leaflet </w:t>
            </w:r>
            <w:r w:rsidR="00553838">
              <w:rPr>
                <w:rFonts w:cs="Arial"/>
                <w:color w:val="000000" w:themeColor="text1"/>
                <w:sz w:val="22"/>
                <w:lang w:val="sl-SI" w:eastAsia="sl-SI"/>
              </w:rPr>
              <w:t xml:space="preserve">CANCER </w:t>
            </w:r>
            <w:r w:rsidRPr="003E6225">
              <w:rPr>
                <w:rFonts w:cs="Arial"/>
                <w:color w:val="000000" w:themeColor="text1"/>
                <w:sz w:val="22"/>
                <w:lang w:val="sl-SI" w:eastAsia="sl-SI"/>
              </w:rPr>
              <w:t>PAIN Indjija</w:t>
            </w:r>
            <w:r>
              <w:rPr>
                <w:rFonts w:ascii="BookAntiqua" w:eastAsia="Times New Roman" w:hAnsi="BookAntiqua" w:cs="BookAntiqua"/>
                <w:sz w:val="22"/>
                <w:lang w:val="en-US"/>
              </w:rPr>
              <w:t xml:space="preserve"> </w:t>
            </w:r>
            <w:r w:rsidR="00127D6B">
              <w:rPr>
                <w:rFonts w:ascii="BookAntiqua" w:eastAsia="Times New Roman" w:hAnsi="BookAntiqua" w:cs="BookAntiqua"/>
                <w:sz w:val="22"/>
                <w:lang w:val="en-US"/>
              </w:rPr>
              <w:t>(pdf)</w:t>
            </w:r>
          </w:p>
        </w:tc>
      </w:tr>
      <w:tr w:rsidR="008141F4" w:rsidRPr="008141F4" w:rsidTr="006F3E14">
        <w:trPr>
          <w:trHeight w:val="93"/>
          <w:jc w:val="center"/>
        </w:trPr>
        <w:tc>
          <w:tcPr>
            <w:tcW w:w="3294" w:type="dxa"/>
            <w:shd w:val="clear" w:color="auto" w:fill="D99594" w:themeFill="accent2" w:themeFillTint="99"/>
          </w:tcPr>
          <w:p w:rsidR="008141F4" w:rsidRPr="007A049E" w:rsidRDefault="008141F4" w:rsidP="00DB344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</w:pPr>
            <w:r w:rsidRPr="007A049E"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  <w:t>Attendance sheet (pdf)</w:t>
            </w:r>
          </w:p>
        </w:tc>
        <w:tc>
          <w:tcPr>
            <w:tcW w:w="5778" w:type="dxa"/>
          </w:tcPr>
          <w:p w:rsidR="008141F4" w:rsidRPr="007A049E" w:rsidRDefault="00127D6B" w:rsidP="00DB344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cs="Arial"/>
                <w:color w:val="000000" w:themeColor="text1"/>
                <w:sz w:val="22"/>
                <w:lang w:val="sl-SI" w:eastAsia="sl-SI"/>
              </w:rPr>
            </w:pPr>
            <w:r>
              <w:rPr>
                <w:rFonts w:ascii="BookAntiqua" w:eastAsia="Times New Roman" w:hAnsi="BookAntiqua" w:cs="BookAntiqua"/>
                <w:sz w:val="22"/>
                <w:lang w:val="en-US"/>
              </w:rPr>
              <w:t>Annex 4</w:t>
            </w:r>
            <w:r w:rsidR="00714B57">
              <w:rPr>
                <w:rFonts w:ascii="BookAntiqua" w:eastAsia="Times New Roman" w:hAnsi="BookAntiqua" w:cs="BookAntiqua"/>
                <w:sz w:val="22"/>
                <w:lang w:val="en-US"/>
              </w:rPr>
              <w:t xml:space="preserve"> - HEPMP-attendance list </w:t>
            </w:r>
            <w:proofErr w:type="spellStart"/>
            <w:r w:rsidR="00714B57">
              <w:rPr>
                <w:rFonts w:ascii="BookAntiqua" w:eastAsia="Times New Roman" w:hAnsi="BookAntiqua" w:cs="BookAntiqua"/>
                <w:sz w:val="22"/>
                <w:lang w:val="en-US"/>
              </w:rPr>
              <w:t>Indjija</w:t>
            </w:r>
            <w:proofErr w:type="spellEnd"/>
            <w:r w:rsidR="00FA6392">
              <w:rPr>
                <w:rFonts w:ascii="BookAntiqua" w:eastAsia="Times New Roman" w:hAnsi="BookAntiqua" w:cs="BookAntiqua"/>
                <w:sz w:val="22"/>
                <w:lang w:val="en-US"/>
              </w:rPr>
              <w:t xml:space="preserve"> (pdf)</w:t>
            </w:r>
          </w:p>
        </w:tc>
      </w:tr>
      <w:tr w:rsidR="008141F4" w:rsidRPr="008141F4" w:rsidTr="006F3E14">
        <w:trPr>
          <w:trHeight w:val="93"/>
          <w:jc w:val="center"/>
        </w:trPr>
        <w:tc>
          <w:tcPr>
            <w:tcW w:w="3294" w:type="dxa"/>
            <w:shd w:val="clear" w:color="auto" w:fill="D99594" w:themeFill="accent2" w:themeFillTint="99"/>
          </w:tcPr>
          <w:p w:rsidR="008141F4" w:rsidRPr="007A049E" w:rsidRDefault="008141F4" w:rsidP="00DB344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</w:pPr>
            <w:r w:rsidRPr="007A049E"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  <w:t>Photos (jpg)</w:t>
            </w:r>
          </w:p>
        </w:tc>
        <w:tc>
          <w:tcPr>
            <w:tcW w:w="5778" w:type="dxa"/>
          </w:tcPr>
          <w:p w:rsidR="008141F4" w:rsidRPr="007A049E" w:rsidRDefault="008141F4" w:rsidP="00DB344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cs="Arial"/>
                <w:color w:val="000000" w:themeColor="text1"/>
                <w:sz w:val="22"/>
                <w:lang w:val="sl-SI" w:eastAsia="sl-SI"/>
              </w:rPr>
            </w:pPr>
          </w:p>
        </w:tc>
      </w:tr>
      <w:tr w:rsidR="008141F4" w:rsidRPr="008141F4" w:rsidTr="006F3E14">
        <w:trPr>
          <w:trHeight w:val="93"/>
          <w:jc w:val="center"/>
        </w:trPr>
        <w:tc>
          <w:tcPr>
            <w:tcW w:w="3294" w:type="dxa"/>
            <w:shd w:val="clear" w:color="auto" w:fill="D99594" w:themeFill="accent2" w:themeFillTint="99"/>
          </w:tcPr>
          <w:p w:rsidR="008141F4" w:rsidRPr="007A049E" w:rsidRDefault="003E6225" w:rsidP="00DB344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</w:pPr>
            <w:r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  <w:t>Deliverable</w:t>
            </w:r>
            <w:r w:rsidR="008141F4" w:rsidRPr="007A049E"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  <w:t xml:space="preserve"> (pdf)</w:t>
            </w:r>
          </w:p>
        </w:tc>
        <w:tc>
          <w:tcPr>
            <w:tcW w:w="5778" w:type="dxa"/>
          </w:tcPr>
          <w:p w:rsidR="008141F4" w:rsidRPr="007A049E" w:rsidRDefault="003E6225" w:rsidP="00DB344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cs="Arial"/>
                <w:color w:val="000000" w:themeColor="text1"/>
                <w:sz w:val="22"/>
                <w:lang w:val="sl-SI" w:eastAsia="sl-SI"/>
              </w:rPr>
            </w:pPr>
            <w:r w:rsidRPr="003E6225">
              <w:rPr>
                <w:rFonts w:cs="Arial"/>
                <w:color w:val="000000" w:themeColor="text1"/>
                <w:sz w:val="22"/>
                <w:lang w:val="sl-SI" w:eastAsia="sl-SI"/>
              </w:rPr>
              <w:t>Leaflet PAIN Indjija</w:t>
            </w:r>
            <w:r w:rsidR="00FA6392">
              <w:rPr>
                <w:rFonts w:cs="Arial"/>
                <w:color w:val="000000" w:themeColor="text1"/>
                <w:sz w:val="22"/>
                <w:lang w:val="sl-SI" w:eastAsia="sl-SI"/>
              </w:rPr>
              <w:t xml:space="preserve"> (pdf)</w:t>
            </w:r>
          </w:p>
        </w:tc>
      </w:tr>
      <w:tr w:rsidR="008141F4" w:rsidRPr="008141F4" w:rsidTr="006F3E14">
        <w:trPr>
          <w:trHeight w:val="93"/>
          <w:jc w:val="center"/>
        </w:trPr>
        <w:tc>
          <w:tcPr>
            <w:tcW w:w="3294" w:type="dxa"/>
            <w:shd w:val="clear" w:color="auto" w:fill="D99594" w:themeFill="accent2" w:themeFillTint="99"/>
          </w:tcPr>
          <w:p w:rsidR="008141F4" w:rsidRPr="007A049E" w:rsidRDefault="00127D6B" w:rsidP="00DB344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</w:pPr>
            <w:r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  <w:t>Quality control</w:t>
            </w:r>
            <w:r w:rsidR="008141F4" w:rsidRPr="007A049E"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  <w:t xml:space="preserve"> (pdf)</w:t>
            </w:r>
          </w:p>
        </w:tc>
        <w:tc>
          <w:tcPr>
            <w:tcW w:w="5778" w:type="dxa"/>
          </w:tcPr>
          <w:p w:rsidR="008141F4" w:rsidRPr="00127D6B" w:rsidRDefault="00FA6392" w:rsidP="00DB344C">
            <w:pPr>
              <w:autoSpaceDE w:val="0"/>
              <w:autoSpaceDN w:val="0"/>
              <w:adjustRightInd w:val="0"/>
              <w:jc w:val="both"/>
              <w:rPr>
                <w:rFonts w:ascii="BookAntiqua" w:eastAsia="Times New Roman" w:hAnsi="BookAntiqua" w:cs="BookAntiqua"/>
                <w:sz w:val="22"/>
                <w:lang w:val="en-US"/>
              </w:rPr>
            </w:pPr>
            <w:r>
              <w:rPr>
                <w:rFonts w:cs="Arial"/>
                <w:color w:val="000000" w:themeColor="text1"/>
                <w:sz w:val="22"/>
                <w:lang w:val="sl-SI" w:eastAsia="sl-SI"/>
              </w:rPr>
              <w:t xml:space="preserve">Accreditation </w:t>
            </w:r>
            <w:proofErr w:type="spellStart"/>
            <w:r>
              <w:rPr>
                <w:rFonts w:cs="Arial"/>
                <w:color w:val="000000" w:themeColor="text1"/>
                <w:sz w:val="22"/>
                <w:lang w:eastAsia="sl-SI"/>
              </w:rPr>
              <w:t>by</w:t>
            </w:r>
            <w:proofErr w:type="spellEnd"/>
            <w:r>
              <w:rPr>
                <w:rFonts w:cs="Arial"/>
                <w:color w:val="000000" w:themeColor="text1"/>
                <w:sz w:val="22"/>
                <w:lang w:eastAsia="sl-SI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22"/>
                <w:lang w:eastAsia="sl-SI"/>
              </w:rPr>
              <w:t>Healthcare</w:t>
            </w:r>
            <w:proofErr w:type="spellEnd"/>
            <w:r>
              <w:rPr>
                <w:rFonts w:cs="Arial"/>
                <w:color w:val="000000" w:themeColor="text1"/>
                <w:sz w:val="22"/>
                <w:lang w:eastAsia="sl-SI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22"/>
                <w:lang w:eastAsia="sl-SI"/>
              </w:rPr>
              <w:t>Council</w:t>
            </w:r>
            <w:proofErr w:type="spellEnd"/>
            <w:r>
              <w:rPr>
                <w:rFonts w:cs="Arial"/>
                <w:color w:val="000000" w:themeColor="text1"/>
                <w:sz w:val="22"/>
                <w:lang w:eastAsia="sl-SI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22"/>
                <w:lang w:eastAsia="sl-SI"/>
              </w:rPr>
              <w:t>of</w:t>
            </w:r>
            <w:proofErr w:type="spellEnd"/>
            <w:r>
              <w:rPr>
                <w:rFonts w:cs="Arial"/>
                <w:color w:val="000000" w:themeColor="text1"/>
                <w:sz w:val="22"/>
                <w:lang w:eastAsia="sl-SI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22"/>
                <w:lang w:eastAsia="sl-SI"/>
              </w:rPr>
              <w:t>Serbia</w:t>
            </w:r>
            <w:proofErr w:type="spellEnd"/>
            <w:r>
              <w:rPr>
                <w:rFonts w:cs="Arial"/>
                <w:color w:val="000000" w:themeColor="text1"/>
                <w:sz w:val="22"/>
                <w:lang w:eastAsia="sl-SI"/>
              </w:rPr>
              <w:t xml:space="preserve"> (print screen); </w:t>
            </w:r>
            <w:r w:rsidR="00127D6B" w:rsidRPr="00127D6B">
              <w:rPr>
                <w:rFonts w:ascii="BookAntiqua" w:eastAsia="Times New Roman" w:hAnsi="BookAntiqua" w:cs="BookAntiqua"/>
                <w:sz w:val="22"/>
                <w:lang w:val="en-US"/>
              </w:rPr>
              <w:t>Annex 6- HEPMP-Event evaluation list</w:t>
            </w:r>
          </w:p>
        </w:tc>
      </w:tr>
      <w:tr w:rsidR="008141F4" w:rsidRPr="008141F4" w:rsidTr="006F3E14">
        <w:trPr>
          <w:trHeight w:val="93"/>
          <w:jc w:val="center"/>
        </w:trPr>
        <w:tc>
          <w:tcPr>
            <w:tcW w:w="3294" w:type="dxa"/>
            <w:shd w:val="clear" w:color="auto" w:fill="D99594" w:themeFill="accent2" w:themeFillTint="99"/>
          </w:tcPr>
          <w:p w:rsidR="008141F4" w:rsidRPr="007A049E" w:rsidRDefault="008141F4" w:rsidP="00DB344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</w:pPr>
            <w:r w:rsidRPr="007A049E"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  <w:t>Presentations (pdf)</w:t>
            </w:r>
          </w:p>
        </w:tc>
        <w:tc>
          <w:tcPr>
            <w:tcW w:w="5778" w:type="dxa"/>
          </w:tcPr>
          <w:p w:rsidR="008141F4" w:rsidRPr="007A049E" w:rsidRDefault="008141F4" w:rsidP="00DB344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cs="Arial"/>
                <w:color w:val="000000" w:themeColor="text1"/>
                <w:sz w:val="22"/>
                <w:lang w:val="sl-SI" w:eastAsia="sl-SI"/>
              </w:rPr>
            </w:pPr>
          </w:p>
        </w:tc>
      </w:tr>
      <w:tr w:rsidR="008141F4" w:rsidRPr="008141F4" w:rsidTr="006F3E14">
        <w:trPr>
          <w:trHeight w:val="93"/>
          <w:jc w:val="center"/>
        </w:trPr>
        <w:tc>
          <w:tcPr>
            <w:tcW w:w="9072" w:type="dxa"/>
            <w:gridSpan w:val="2"/>
            <w:shd w:val="clear" w:color="auto" w:fill="F2DBDB" w:themeFill="accent2" w:themeFillTint="33"/>
          </w:tcPr>
          <w:p w:rsidR="008141F4" w:rsidRPr="007A049E" w:rsidRDefault="008141F4" w:rsidP="00DB344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</w:pPr>
            <w:r w:rsidRPr="007A049E"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  <w:t>Other personal remarks</w:t>
            </w:r>
          </w:p>
        </w:tc>
      </w:tr>
      <w:tr w:rsidR="008141F4" w:rsidRPr="00E55B7D" w:rsidTr="008141F4">
        <w:trPr>
          <w:trHeight w:val="4245"/>
          <w:jc w:val="center"/>
        </w:trPr>
        <w:tc>
          <w:tcPr>
            <w:tcW w:w="9072" w:type="dxa"/>
            <w:gridSpan w:val="2"/>
          </w:tcPr>
          <w:p w:rsidR="008141F4" w:rsidRPr="00E55B7D" w:rsidRDefault="008141F4" w:rsidP="00DB344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color w:val="404040"/>
                <w:lang w:val="sl-SI" w:eastAsia="sl-SI"/>
              </w:rPr>
            </w:pPr>
          </w:p>
          <w:p w:rsidR="008141F4" w:rsidRPr="00E55B7D" w:rsidRDefault="008141F4" w:rsidP="00DB344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color w:val="404040"/>
                <w:lang w:val="sl-SI" w:eastAsia="sl-SI"/>
              </w:rPr>
            </w:pPr>
          </w:p>
          <w:p w:rsidR="008141F4" w:rsidRPr="00E55B7D" w:rsidRDefault="008141F4" w:rsidP="00DB344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color w:val="404040"/>
                <w:lang w:val="sl-SI" w:eastAsia="sl-SI"/>
              </w:rPr>
            </w:pPr>
          </w:p>
          <w:p w:rsidR="008141F4" w:rsidRPr="00E55B7D" w:rsidRDefault="008141F4" w:rsidP="00DB344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color w:val="404040"/>
                <w:lang w:val="sl-SI" w:eastAsia="sl-SI"/>
              </w:rPr>
            </w:pPr>
          </w:p>
          <w:p w:rsidR="008141F4" w:rsidRDefault="008141F4" w:rsidP="00DB344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color w:val="404040"/>
                <w:lang w:val="sl-SI" w:eastAsia="sl-SI"/>
              </w:rPr>
            </w:pPr>
          </w:p>
          <w:p w:rsidR="008141F4" w:rsidRDefault="008141F4" w:rsidP="00DB344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color w:val="404040"/>
                <w:lang w:val="sl-SI" w:eastAsia="sl-SI"/>
              </w:rPr>
            </w:pPr>
          </w:p>
          <w:p w:rsidR="008141F4" w:rsidRDefault="008141F4" w:rsidP="00DB344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color w:val="404040"/>
                <w:lang w:val="sl-SI" w:eastAsia="sl-SI"/>
              </w:rPr>
            </w:pPr>
          </w:p>
          <w:p w:rsidR="008141F4" w:rsidRDefault="008141F4" w:rsidP="00DB344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color w:val="404040"/>
                <w:lang w:val="sl-SI" w:eastAsia="sl-SI"/>
              </w:rPr>
            </w:pPr>
          </w:p>
          <w:p w:rsidR="008141F4" w:rsidRDefault="008141F4" w:rsidP="00DB344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color w:val="404040"/>
                <w:lang w:val="sl-SI" w:eastAsia="sl-SI"/>
              </w:rPr>
            </w:pPr>
          </w:p>
          <w:p w:rsidR="008141F4" w:rsidRDefault="008141F4" w:rsidP="00DB344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color w:val="404040"/>
                <w:lang w:val="sl-SI" w:eastAsia="sl-SI"/>
              </w:rPr>
            </w:pPr>
          </w:p>
          <w:p w:rsidR="008141F4" w:rsidRDefault="008141F4" w:rsidP="00DB344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color w:val="404040"/>
                <w:lang w:val="sl-SI" w:eastAsia="sl-SI"/>
              </w:rPr>
            </w:pPr>
          </w:p>
          <w:p w:rsidR="008141F4" w:rsidRPr="00E55B7D" w:rsidRDefault="008141F4" w:rsidP="00DB344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color w:val="404040"/>
                <w:lang w:val="sl-SI" w:eastAsia="sl-SI"/>
              </w:rPr>
            </w:pPr>
          </w:p>
        </w:tc>
      </w:tr>
    </w:tbl>
    <w:p w:rsidR="008141F4" w:rsidRDefault="008141F4" w:rsidP="00DB344C">
      <w:pPr>
        <w:jc w:val="both"/>
        <w:rPr>
          <w:rFonts w:ascii="Arial" w:hAnsi="Arial" w:cs="Arial"/>
          <w:b/>
          <w:color w:val="404040"/>
          <w:sz w:val="32"/>
          <w:szCs w:val="32"/>
          <w:lang w:val="sl-SI" w:eastAsia="sl-SI"/>
        </w:rPr>
      </w:pPr>
    </w:p>
    <w:p w:rsidR="008141F4" w:rsidRDefault="008141F4" w:rsidP="00DB344C">
      <w:pPr>
        <w:jc w:val="both"/>
        <w:rPr>
          <w:rFonts w:ascii="Arial" w:hAnsi="Arial" w:cs="Arial"/>
          <w:b/>
          <w:color w:val="404040"/>
          <w:sz w:val="32"/>
          <w:szCs w:val="32"/>
          <w:lang w:val="sl-SI" w:eastAsia="sl-SI"/>
        </w:rPr>
      </w:pPr>
    </w:p>
    <w:p w:rsidR="008141F4" w:rsidRPr="00C3074C" w:rsidRDefault="00DB344C" w:rsidP="00DB344C">
      <w:pPr>
        <w:autoSpaceDE w:val="0"/>
        <w:autoSpaceDN w:val="0"/>
        <w:adjustRightInd w:val="0"/>
        <w:spacing w:after="173"/>
        <w:jc w:val="both"/>
        <w:rPr>
          <w:rFonts w:cs="Arial"/>
          <w:color w:val="404040"/>
          <w:u w:val="single"/>
          <w:lang w:eastAsia="sl-SI"/>
        </w:rPr>
      </w:pPr>
      <w:r>
        <w:rPr>
          <w:rFonts w:cs="Arial"/>
          <w:noProof/>
          <w:color w:val="000000" w:themeColor="text1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3266662</wp:posOffset>
            </wp:positionH>
            <wp:positionV relativeFrom="paragraph">
              <wp:posOffset>58922</wp:posOffset>
            </wp:positionV>
            <wp:extent cx="1549400" cy="1219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tpi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06E" w:rsidRDefault="0032106E" w:rsidP="00DB344C">
      <w:pPr>
        <w:autoSpaceDE w:val="0"/>
        <w:autoSpaceDN w:val="0"/>
        <w:adjustRightInd w:val="0"/>
        <w:spacing w:after="173"/>
        <w:jc w:val="both"/>
        <w:rPr>
          <w:rFonts w:cs="Arial"/>
          <w:color w:val="000000" w:themeColor="text1"/>
          <w:lang w:eastAsia="sl-SI"/>
        </w:rPr>
      </w:pPr>
      <w:proofErr w:type="spellStart"/>
      <w:r w:rsidRPr="00C3074C">
        <w:rPr>
          <w:rFonts w:cs="Arial"/>
          <w:color w:val="000000" w:themeColor="text1"/>
          <w:lang w:eastAsia="sl-SI"/>
        </w:rPr>
        <w:t>Location</w:t>
      </w:r>
      <w:proofErr w:type="spellEnd"/>
      <w:r w:rsidRPr="00C3074C">
        <w:rPr>
          <w:rFonts w:cs="Arial"/>
          <w:color w:val="000000" w:themeColor="text1"/>
          <w:lang w:eastAsia="sl-SI"/>
        </w:rPr>
        <w:t>, date</w:t>
      </w:r>
      <w:r w:rsidRPr="00C3074C">
        <w:rPr>
          <w:rFonts w:cs="Arial"/>
          <w:color w:val="000000" w:themeColor="text1"/>
          <w:lang w:eastAsia="sl-SI"/>
        </w:rPr>
        <w:tab/>
      </w:r>
      <w:r w:rsidRPr="00C3074C">
        <w:rPr>
          <w:rFonts w:cs="Arial"/>
          <w:color w:val="000000" w:themeColor="text1"/>
          <w:lang w:eastAsia="sl-SI"/>
        </w:rPr>
        <w:tab/>
      </w:r>
      <w:r w:rsidRPr="00C3074C">
        <w:rPr>
          <w:rFonts w:cs="Arial"/>
          <w:color w:val="000000" w:themeColor="text1"/>
          <w:lang w:eastAsia="sl-SI"/>
        </w:rPr>
        <w:tab/>
      </w:r>
      <w:r w:rsidRPr="00C3074C">
        <w:rPr>
          <w:rFonts w:cs="Arial"/>
          <w:color w:val="000000" w:themeColor="text1"/>
          <w:lang w:eastAsia="sl-SI"/>
        </w:rPr>
        <w:tab/>
      </w:r>
      <w:r w:rsidRPr="00C3074C">
        <w:rPr>
          <w:rFonts w:cs="Arial"/>
          <w:color w:val="000000" w:themeColor="text1"/>
          <w:lang w:eastAsia="sl-SI"/>
        </w:rPr>
        <w:tab/>
      </w:r>
      <w:r w:rsidRPr="00C3074C">
        <w:rPr>
          <w:rFonts w:cs="Arial"/>
          <w:color w:val="000000" w:themeColor="text1"/>
          <w:lang w:eastAsia="sl-SI"/>
        </w:rPr>
        <w:tab/>
        <w:t>Sign</w:t>
      </w:r>
      <w:r>
        <w:rPr>
          <w:rFonts w:cs="Arial"/>
          <w:color w:val="000000" w:themeColor="text1"/>
          <w:lang w:eastAsia="sl-SI"/>
        </w:rPr>
        <w:t>ature</w:t>
      </w:r>
    </w:p>
    <w:p w:rsidR="0032106E" w:rsidRPr="00C3074C" w:rsidRDefault="00DB344C" w:rsidP="00DB344C">
      <w:pPr>
        <w:autoSpaceDE w:val="0"/>
        <w:autoSpaceDN w:val="0"/>
        <w:adjustRightInd w:val="0"/>
        <w:spacing w:after="173"/>
        <w:jc w:val="both"/>
        <w:rPr>
          <w:rFonts w:cs="Arial"/>
          <w:color w:val="000000" w:themeColor="text1"/>
          <w:lang w:eastAsia="sl-SI"/>
        </w:rPr>
      </w:pPr>
      <w:r>
        <w:rPr>
          <w:rFonts w:cs="Arial"/>
          <w:color w:val="000000" w:themeColor="text1"/>
          <w:lang w:eastAsia="sl-SI"/>
        </w:rPr>
        <w:t>06</w:t>
      </w:r>
      <w:bookmarkStart w:id="0" w:name="_GoBack"/>
      <w:bookmarkEnd w:id="0"/>
      <w:r>
        <w:rPr>
          <w:rFonts w:cs="Arial"/>
          <w:color w:val="000000" w:themeColor="text1"/>
          <w:lang w:eastAsia="sl-SI"/>
        </w:rPr>
        <w:t>. 12. 2019.</w:t>
      </w:r>
      <w:r w:rsidR="0032106E">
        <w:rPr>
          <w:rFonts w:cs="Arial"/>
          <w:color w:val="000000" w:themeColor="text1"/>
          <w:lang w:eastAsia="sl-SI"/>
        </w:rPr>
        <w:tab/>
      </w:r>
      <w:r w:rsidR="0032106E">
        <w:rPr>
          <w:rFonts w:cs="Arial"/>
          <w:color w:val="000000" w:themeColor="text1"/>
          <w:lang w:eastAsia="sl-SI"/>
        </w:rPr>
        <w:tab/>
      </w:r>
      <w:r w:rsidR="0032106E">
        <w:rPr>
          <w:rFonts w:cs="Arial"/>
          <w:color w:val="000000" w:themeColor="text1"/>
          <w:lang w:eastAsia="sl-SI"/>
        </w:rPr>
        <w:tab/>
      </w:r>
      <w:r w:rsidR="0032106E">
        <w:rPr>
          <w:rFonts w:cs="Arial"/>
          <w:color w:val="000000" w:themeColor="text1"/>
          <w:lang w:eastAsia="sl-SI"/>
        </w:rPr>
        <w:tab/>
      </w:r>
      <w:r w:rsidR="0032106E">
        <w:rPr>
          <w:rFonts w:cs="Arial"/>
          <w:color w:val="000000" w:themeColor="text1"/>
          <w:lang w:eastAsia="sl-SI"/>
        </w:rPr>
        <w:tab/>
      </w:r>
      <w:r>
        <w:rPr>
          <w:rFonts w:cs="Arial"/>
          <w:color w:val="000000" w:themeColor="text1"/>
          <w:lang w:eastAsia="sl-SI"/>
        </w:rPr>
        <w:tab/>
      </w:r>
      <w:r>
        <w:rPr>
          <w:rFonts w:cs="Arial"/>
          <w:color w:val="000000" w:themeColor="text1"/>
          <w:lang w:eastAsia="sl-SI"/>
        </w:rPr>
        <w:tab/>
      </w:r>
    </w:p>
    <w:p w:rsidR="00242A86" w:rsidRDefault="00242A86" w:rsidP="00DB344C">
      <w:pPr>
        <w:jc w:val="both"/>
      </w:pPr>
    </w:p>
    <w:p w:rsidR="00242A86" w:rsidRDefault="00242A86" w:rsidP="00DB344C">
      <w:pPr>
        <w:jc w:val="both"/>
      </w:pPr>
    </w:p>
    <w:p w:rsidR="00242A86" w:rsidRDefault="00242A86" w:rsidP="00DB344C">
      <w:pPr>
        <w:jc w:val="both"/>
      </w:pPr>
    </w:p>
    <w:p w:rsidR="00F25283" w:rsidRPr="00242A86" w:rsidRDefault="00F25283" w:rsidP="00DB344C">
      <w:pPr>
        <w:jc w:val="both"/>
      </w:pPr>
    </w:p>
    <w:sectPr w:rsidR="00F25283" w:rsidRPr="00242A86" w:rsidSect="00A67DA7">
      <w:headerReference w:type="default" r:id="rId9"/>
      <w:footerReference w:type="default" r:id="rId10"/>
      <w:footnotePr>
        <w:pos w:val="beneathText"/>
      </w:footnotePr>
      <w:pgSz w:w="11907" w:h="16840" w:code="9"/>
      <w:pgMar w:top="1094" w:right="567" w:bottom="567" w:left="1140" w:header="561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453" w:rsidRDefault="00366453">
      <w:r>
        <w:separator/>
      </w:r>
    </w:p>
  </w:endnote>
  <w:endnote w:type="continuationSeparator" w:id="0">
    <w:p w:rsidR="00366453" w:rsidRDefault="00366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orndale">
    <w:altName w:val="Times New Roman"/>
    <w:panose1 w:val="020B0604020202020204"/>
    <w:charset w:val="00"/>
    <w:family w:val="roman"/>
    <w:pitch w:val="variable"/>
  </w:font>
  <w:font w:name="HG Mincho Light J">
    <w:altName w:val="Times New Roman"/>
    <w:panose1 w:val="020B0604020202020204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-Bold">
    <w:altName w:val="Times New Roman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BookAntiqua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9268235"/>
      <w:docPartObj>
        <w:docPartGallery w:val="Page Numbers (Bottom of Page)"/>
        <w:docPartUnique/>
      </w:docPartObj>
    </w:sdtPr>
    <w:sdtEndPr/>
    <w:sdtContent>
      <w:p w:rsidR="00CB0ECE" w:rsidRDefault="003664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7EF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B0ECE" w:rsidRDefault="00CB0ECE" w:rsidP="00AE48B4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453" w:rsidRDefault="00366453">
      <w:r>
        <w:separator/>
      </w:r>
    </w:p>
  </w:footnote>
  <w:footnote w:type="continuationSeparator" w:id="0">
    <w:p w:rsidR="00366453" w:rsidRDefault="00366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5"/>
      <w:gridCol w:w="5533"/>
      <w:gridCol w:w="2578"/>
    </w:tblGrid>
    <w:tr w:rsidR="00CB0ECE" w:rsidTr="00100EAD">
      <w:tc>
        <w:tcPr>
          <w:tcW w:w="2235" w:type="dxa"/>
        </w:tcPr>
        <w:p w:rsidR="00CB0ECE" w:rsidRDefault="00CB0ECE" w:rsidP="00E843F7">
          <w:pPr>
            <w:pStyle w:val="BodyText"/>
          </w:pPr>
          <w:r>
            <w:rPr>
              <w:noProof/>
              <w:lang w:bidi="ar-SA"/>
            </w:rPr>
            <w:drawing>
              <wp:inline distT="0" distB="0" distL="0" distR="0">
                <wp:extent cx="1326515" cy="45720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651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35" w:type="dxa"/>
        </w:tcPr>
        <w:p w:rsidR="00CB0ECE" w:rsidRPr="00B21E71" w:rsidRDefault="00CB0ECE" w:rsidP="00B21E71">
          <w:pPr>
            <w:pStyle w:val="Header"/>
            <w:ind w:left="0"/>
            <w:jc w:val="center"/>
            <w:rPr>
              <w:rFonts w:ascii="Book Antiqua" w:hAnsi="Book Antiqua"/>
              <w:bCs/>
              <w:sz w:val="20"/>
              <w:szCs w:val="20"/>
            </w:rPr>
          </w:pPr>
          <w:r w:rsidRPr="00B21E71">
            <w:rPr>
              <w:rStyle w:val="SelPlus"/>
              <w:rFonts w:ascii="Book Antiqua" w:hAnsi="Book Antiqua"/>
              <w:b w:val="0"/>
              <w:sz w:val="20"/>
              <w:szCs w:val="20"/>
            </w:rPr>
            <w:t xml:space="preserve">Strengthening Capacities for Higher Education of Pain </w:t>
          </w:r>
          <w:proofErr w:type="gramStart"/>
          <w:r w:rsidRPr="00B21E71">
            <w:rPr>
              <w:rStyle w:val="SelPlus"/>
              <w:rFonts w:ascii="Book Antiqua" w:hAnsi="Book Antiqua"/>
              <w:b w:val="0"/>
              <w:sz w:val="20"/>
              <w:szCs w:val="20"/>
            </w:rPr>
            <w:t>Medicine  in</w:t>
          </w:r>
          <w:proofErr w:type="gramEnd"/>
          <w:r w:rsidRPr="00B21E71">
            <w:rPr>
              <w:rStyle w:val="SelPlus"/>
              <w:rFonts w:ascii="Book Antiqua" w:hAnsi="Book Antiqua"/>
              <w:b w:val="0"/>
              <w:sz w:val="20"/>
              <w:szCs w:val="20"/>
            </w:rPr>
            <w:t xml:space="preserve"> Western Balkan countries – </w:t>
          </w:r>
          <w:r w:rsidRPr="00B21E71">
            <w:rPr>
              <w:rFonts w:ascii="Book Antiqua" w:hAnsi="Book Antiqua"/>
              <w:bCs/>
              <w:sz w:val="20"/>
              <w:szCs w:val="20"/>
            </w:rPr>
            <w:t>HEPMP</w:t>
          </w:r>
        </w:p>
      </w:tc>
      <w:tc>
        <w:tcPr>
          <w:tcW w:w="2586" w:type="dxa"/>
        </w:tcPr>
        <w:p w:rsidR="00CB0ECE" w:rsidRDefault="00CB0ECE" w:rsidP="00E843F7">
          <w:pPr>
            <w:pStyle w:val="BodyText"/>
          </w:pPr>
          <w:r w:rsidRPr="00941AC8">
            <w:rPr>
              <w:noProof/>
              <w:lang w:bidi="ar-SA"/>
            </w:rPr>
            <w:drawing>
              <wp:inline distT="0" distB="0" distL="0" distR="0">
                <wp:extent cx="1433655" cy="409575"/>
                <wp:effectExtent l="19050" t="0" r="0" b="0"/>
                <wp:docPr id="2" name="Picture 2" descr="eu_flag_co_funded_pos_[rgb]_righ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flag_co_funded_pos_[rgb]_right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5624" cy="4101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B0ECE" w:rsidRDefault="00CB0ECE" w:rsidP="00E843F7">
    <w:pPr>
      <w:pStyle w:val="Body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3F503EE"/>
    <w:multiLevelType w:val="hybridMultilevel"/>
    <w:tmpl w:val="EF588ABA"/>
    <w:lvl w:ilvl="0" w:tplc="0409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791"/>
    <w:rsid w:val="00005D08"/>
    <w:rsid w:val="000237B0"/>
    <w:rsid w:val="000341D6"/>
    <w:rsid w:val="0004689E"/>
    <w:rsid w:val="00047D38"/>
    <w:rsid w:val="00051812"/>
    <w:rsid w:val="00051F8B"/>
    <w:rsid w:val="00053A35"/>
    <w:rsid w:val="000673B0"/>
    <w:rsid w:val="00076529"/>
    <w:rsid w:val="000831F3"/>
    <w:rsid w:val="0008343D"/>
    <w:rsid w:val="00083CE1"/>
    <w:rsid w:val="00090499"/>
    <w:rsid w:val="0009219B"/>
    <w:rsid w:val="00093F24"/>
    <w:rsid w:val="00096DBF"/>
    <w:rsid w:val="000E0157"/>
    <w:rsid w:val="000E340C"/>
    <w:rsid w:val="00100EAD"/>
    <w:rsid w:val="00116BB0"/>
    <w:rsid w:val="00127D6B"/>
    <w:rsid w:val="00132BB4"/>
    <w:rsid w:val="001362D2"/>
    <w:rsid w:val="00143543"/>
    <w:rsid w:val="00151396"/>
    <w:rsid w:val="001516D3"/>
    <w:rsid w:val="00163BAF"/>
    <w:rsid w:val="001779FE"/>
    <w:rsid w:val="00181D91"/>
    <w:rsid w:val="00190C9A"/>
    <w:rsid w:val="00195F5D"/>
    <w:rsid w:val="001A21A4"/>
    <w:rsid w:val="001B5FBB"/>
    <w:rsid w:val="001D05D0"/>
    <w:rsid w:val="001E6E78"/>
    <w:rsid w:val="001E74C7"/>
    <w:rsid w:val="001E78A7"/>
    <w:rsid w:val="001F511D"/>
    <w:rsid w:val="001F71CF"/>
    <w:rsid w:val="00210644"/>
    <w:rsid w:val="00211200"/>
    <w:rsid w:val="00220B1F"/>
    <w:rsid w:val="00222BC5"/>
    <w:rsid w:val="00225FFE"/>
    <w:rsid w:val="0023500F"/>
    <w:rsid w:val="00237E72"/>
    <w:rsid w:val="00242A86"/>
    <w:rsid w:val="00250AA1"/>
    <w:rsid w:val="00257CA9"/>
    <w:rsid w:val="002630F5"/>
    <w:rsid w:val="00263DF6"/>
    <w:rsid w:val="00264C4B"/>
    <w:rsid w:val="00272F45"/>
    <w:rsid w:val="00280241"/>
    <w:rsid w:val="00286448"/>
    <w:rsid w:val="002911BD"/>
    <w:rsid w:val="002A3547"/>
    <w:rsid w:val="002A735A"/>
    <w:rsid w:val="002B2300"/>
    <w:rsid w:val="002B3371"/>
    <w:rsid w:val="002D6F46"/>
    <w:rsid w:val="002E2243"/>
    <w:rsid w:val="002E617A"/>
    <w:rsid w:val="002E6E1A"/>
    <w:rsid w:val="002F3FAB"/>
    <w:rsid w:val="003013A8"/>
    <w:rsid w:val="00303791"/>
    <w:rsid w:val="00313E84"/>
    <w:rsid w:val="00314DA0"/>
    <w:rsid w:val="00315A81"/>
    <w:rsid w:val="0032106E"/>
    <w:rsid w:val="00332B0E"/>
    <w:rsid w:val="003477B1"/>
    <w:rsid w:val="00361C90"/>
    <w:rsid w:val="00366453"/>
    <w:rsid w:val="00381648"/>
    <w:rsid w:val="00395127"/>
    <w:rsid w:val="003A6AF9"/>
    <w:rsid w:val="003B7A73"/>
    <w:rsid w:val="003C5121"/>
    <w:rsid w:val="003C7D49"/>
    <w:rsid w:val="003D05DA"/>
    <w:rsid w:val="003D77A3"/>
    <w:rsid w:val="003E6225"/>
    <w:rsid w:val="003E7267"/>
    <w:rsid w:val="003F46EE"/>
    <w:rsid w:val="0040053D"/>
    <w:rsid w:val="00406782"/>
    <w:rsid w:val="004101DD"/>
    <w:rsid w:val="004163F3"/>
    <w:rsid w:val="00417EA4"/>
    <w:rsid w:val="00422DD5"/>
    <w:rsid w:val="00423D84"/>
    <w:rsid w:val="00441C70"/>
    <w:rsid w:val="0044305D"/>
    <w:rsid w:val="004456A8"/>
    <w:rsid w:val="00445760"/>
    <w:rsid w:val="00446495"/>
    <w:rsid w:val="00446CB5"/>
    <w:rsid w:val="004800A2"/>
    <w:rsid w:val="0048017D"/>
    <w:rsid w:val="00483FBD"/>
    <w:rsid w:val="00485AE7"/>
    <w:rsid w:val="004866CC"/>
    <w:rsid w:val="004A0B3C"/>
    <w:rsid w:val="004B0B45"/>
    <w:rsid w:val="004C7EF3"/>
    <w:rsid w:val="004D1BB2"/>
    <w:rsid w:val="004D78AF"/>
    <w:rsid w:val="004E1DF7"/>
    <w:rsid w:val="004E4166"/>
    <w:rsid w:val="0050206A"/>
    <w:rsid w:val="00530874"/>
    <w:rsid w:val="00553838"/>
    <w:rsid w:val="005604D1"/>
    <w:rsid w:val="0057202D"/>
    <w:rsid w:val="005753D1"/>
    <w:rsid w:val="005760AF"/>
    <w:rsid w:val="00583168"/>
    <w:rsid w:val="00586A93"/>
    <w:rsid w:val="00591C38"/>
    <w:rsid w:val="00596316"/>
    <w:rsid w:val="005A3B95"/>
    <w:rsid w:val="005B1DD3"/>
    <w:rsid w:val="005D0814"/>
    <w:rsid w:val="005E07B0"/>
    <w:rsid w:val="005E3BBC"/>
    <w:rsid w:val="005E60BF"/>
    <w:rsid w:val="005E7077"/>
    <w:rsid w:val="005F1950"/>
    <w:rsid w:val="005F6CCB"/>
    <w:rsid w:val="0060503B"/>
    <w:rsid w:val="00611687"/>
    <w:rsid w:val="00626E41"/>
    <w:rsid w:val="00632335"/>
    <w:rsid w:val="006324AA"/>
    <w:rsid w:val="0063635E"/>
    <w:rsid w:val="00642414"/>
    <w:rsid w:val="006436E9"/>
    <w:rsid w:val="006504D6"/>
    <w:rsid w:val="0066667E"/>
    <w:rsid w:val="00682226"/>
    <w:rsid w:val="0069015C"/>
    <w:rsid w:val="00690B5D"/>
    <w:rsid w:val="006B569C"/>
    <w:rsid w:val="006C1CFB"/>
    <w:rsid w:val="006C646D"/>
    <w:rsid w:val="006C64A2"/>
    <w:rsid w:val="006D5654"/>
    <w:rsid w:val="006D6343"/>
    <w:rsid w:val="006F215D"/>
    <w:rsid w:val="006F3E14"/>
    <w:rsid w:val="00702F9E"/>
    <w:rsid w:val="00714B57"/>
    <w:rsid w:val="00716DDC"/>
    <w:rsid w:val="00717988"/>
    <w:rsid w:val="00731936"/>
    <w:rsid w:val="00741B85"/>
    <w:rsid w:val="00745013"/>
    <w:rsid w:val="0074526F"/>
    <w:rsid w:val="00751E0D"/>
    <w:rsid w:val="0077162A"/>
    <w:rsid w:val="00771721"/>
    <w:rsid w:val="00775F67"/>
    <w:rsid w:val="007813B6"/>
    <w:rsid w:val="00782EC0"/>
    <w:rsid w:val="00787D87"/>
    <w:rsid w:val="00791D5E"/>
    <w:rsid w:val="007A049E"/>
    <w:rsid w:val="007A4E68"/>
    <w:rsid w:val="007A5865"/>
    <w:rsid w:val="007B1819"/>
    <w:rsid w:val="007B3AD7"/>
    <w:rsid w:val="007C19BA"/>
    <w:rsid w:val="007C616C"/>
    <w:rsid w:val="007D6990"/>
    <w:rsid w:val="007E2594"/>
    <w:rsid w:val="007E260B"/>
    <w:rsid w:val="007F27AF"/>
    <w:rsid w:val="007F2C62"/>
    <w:rsid w:val="00801EAD"/>
    <w:rsid w:val="008141F4"/>
    <w:rsid w:val="008144A1"/>
    <w:rsid w:val="00814AEE"/>
    <w:rsid w:val="0082097A"/>
    <w:rsid w:val="00847945"/>
    <w:rsid w:val="008549D9"/>
    <w:rsid w:val="00864113"/>
    <w:rsid w:val="008753F6"/>
    <w:rsid w:val="00875B53"/>
    <w:rsid w:val="00877CC5"/>
    <w:rsid w:val="008830E6"/>
    <w:rsid w:val="00894C80"/>
    <w:rsid w:val="00896495"/>
    <w:rsid w:val="008B0542"/>
    <w:rsid w:val="008E09BA"/>
    <w:rsid w:val="008E5B11"/>
    <w:rsid w:val="008E613E"/>
    <w:rsid w:val="009067C4"/>
    <w:rsid w:val="00907BC5"/>
    <w:rsid w:val="0091283D"/>
    <w:rsid w:val="00915250"/>
    <w:rsid w:val="00916B9A"/>
    <w:rsid w:val="00931683"/>
    <w:rsid w:val="00935D95"/>
    <w:rsid w:val="00943DD4"/>
    <w:rsid w:val="00944AA3"/>
    <w:rsid w:val="0095474F"/>
    <w:rsid w:val="00971102"/>
    <w:rsid w:val="009812FC"/>
    <w:rsid w:val="0098202A"/>
    <w:rsid w:val="00983962"/>
    <w:rsid w:val="009841CB"/>
    <w:rsid w:val="00993D7F"/>
    <w:rsid w:val="009A0E18"/>
    <w:rsid w:val="009A500C"/>
    <w:rsid w:val="009D4FD3"/>
    <w:rsid w:val="009E11D3"/>
    <w:rsid w:val="009E4F0D"/>
    <w:rsid w:val="009E6559"/>
    <w:rsid w:val="009F522A"/>
    <w:rsid w:val="00A0458A"/>
    <w:rsid w:val="00A15FD7"/>
    <w:rsid w:val="00A164AF"/>
    <w:rsid w:val="00A21128"/>
    <w:rsid w:val="00A229CE"/>
    <w:rsid w:val="00A35B4F"/>
    <w:rsid w:val="00A46A71"/>
    <w:rsid w:val="00A6712D"/>
    <w:rsid w:val="00A67DA7"/>
    <w:rsid w:val="00A70E8D"/>
    <w:rsid w:val="00A77E8D"/>
    <w:rsid w:val="00AB6F49"/>
    <w:rsid w:val="00AD2967"/>
    <w:rsid w:val="00AD7515"/>
    <w:rsid w:val="00AE140B"/>
    <w:rsid w:val="00AE48B4"/>
    <w:rsid w:val="00AE60AC"/>
    <w:rsid w:val="00AF43A7"/>
    <w:rsid w:val="00AF6032"/>
    <w:rsid w:val="00AF75BE"/>
    <w:rsid w:val="00B02282"/>
    <w:rsid w:val="00B13005"/>
    <w:rsid w:val="00B17EFA"/>
    <w:rsid w:val="00B21E71"/>
    <w:rsid w:val="00B27A29"/>
    <w:rsid w:val="00B4758A"/>
    <w:rsid w:val="00B527CA"/>
    <w:rsid w:val="00B56CC8"/>
    <w:rsid w:val="00B577F0"/>
    <w:rsid w:val="00B76690"/>
    <w:rsid w:val="00B841EC"/>
    <w:rsid w:val="00BA57C0"/>
    <w:rsid w:val="00BA6BE0"/>
    <w:rsid w:val="00BD07DB"/>
    <w:rsid w:val="00BE2677"/>
    <w:rsid w:val="00BE33CF"/>
    <w:rsid w:val="00BF07F4"/>
    <w:rsid w:val="00BF0C99"/>
    <w:rsid w:val="00C16570"/>
    <w:rsid w:val="00C27C63"/>
    <w:rsid w:val="00C3074C"/>
    <w:rsid w:val="00C32546"/>
    <w:rsid w:val="00C40FA6"/>
    <w:rsid w:val="00C62DF5"/>
    <w:rsid w:val="00C65364"/>
    <w:rsid w:val="00C743AE"/>
    <w:rsid w:val="00C911B8"/>
    <w:rsid w:val="00C94F48"/>
    <w:rsid w:val="00C96D8D"/>
    <w:rsid w:val="00C9780D"/>
    <w:rsid w:val="00CA37CD"/>
    <w:rsid w:val="00CB0ECE"/>
    <w:rsid w:val="00CB1BFC"/>
    <w:rsid w:val="00CC494E"/>
    <w:rsid w:val="00CD0E67"/>
    <w:rsid w:val="00CF052F"/>
    <w:rsid w:val="00D003E4"/>
    <w:rsid w:val="00D034B5"/>
    <w:rsid w:val="00D06BB8"/>
    <w:rsid w:val="00D06C06"/>
    <w:rsid w:val="00D27313"/>
    <w:rsid w:val="00D31A73"/>
    <w:rsid w:val="00D41393"/>
    <w:rsid w:val="00D445ED"/>
    <w:rsid w:val="00D51A3E"/>
    <w:rsid w:val="00D54C0C"/>
    <w:rsid w:val="00D61D25"/>
    <w:rsid w:val="00DB344C"/>
    <w:rsid w:val="00DD6755"/>
    <w:rsid w:val="00DF0965"/>
    <w:rsid w:val="00E018F8"/>
    <w:rsid w:val="00E12A3F"/>
    <w:rsid w:val="00E13121"/>
    <w:rsid w:val="00E33572"/>
    <w:rsid w:val="00E37B6C"/>
    <w:rsid w:val="00E43951"/>
    <w:rsid w:val="00E57AEA"/>
    <w:rsid w:val="00E6240D"/>
    <w:rsid w:val="00E62A1D"/>
    <w:rsid w:val="00E6578E"/>
    <w:rsid w:val="00E666CF"/>
    <w:rsid w:val="00E709C8"/>
    <w:rsid w:val="00E72587"/>
    <w:rsid w:val="00E8190B"/>
    <w:rsid w:val="00E82BA2"/>
    <w:rsid w:val="00E843F7"/>
    <w:rsid w:val="00EA6356"/>
    <w:rsid w:val="00EB6722"/>
    <w:rsid w:val="00EC0E26"/>
    <w:rsid w:val="00EC22B3"/>
    <w:rsid w:val="00EC42B9"/>
    <w:rsid w:val="00EC6240"/>
    <w:rsid w:val="00EC69DF"/>
    <w:rsid w:val="00EE2F75"/>
    <w:rsid w:val="00F115F5"/>
    <w:rsid w:val="00F11AFD"/>
    <w:rsid w:val="00F11C92"/>
    <w:rsid w:val="00F12C7C"/>
    <w:rsid w:val="00F25283"/>
    <w:rsid w:val="00F27049"/>
    <w:rsid w:val="00F34216"/>
    <w:rsid w:val="00F34547"/>
    <w:rsid w:val="00F422DD"/>
    <w:rsid w:val="00F65441"/>
    <w:rsid w:val="00F66384"/>
    <w:rsid w:val="00F922AF"/>
    <w:rsid w:val="00F95DB1"/>
    <w:rsid w:val="00FA3218"/>
    <w:rsid w:val="00FA5B89"/>
    <w:rsid w:val="00FA6392"/>
    <w:rsid w:val="00FC34EF"/>
    <w:rsid w:val="00FC6845"/>
    <w:rsid w:val="00FC6962"/>
    <w:rsid w:val="00FD2DF0"/>
    <w:rsid w:val="00FF6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A12E3"/>
  <w15:docId w15:val="{5CF5989F-0766-954A-975A-2CD0B7EA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A86"/>
    <w:rPr>
      <w:rFonts w:ascii="Book Antiqua" w:eastAsiaTheme="minorHAnsi" w:hAnsi="Book Antiqua" w:cstheme="minorBidi"/>
      <w:sz w:val="24"/>
      <w:szCs w:val="22"/>
      <w:lang w:val="bs-Latn-BA" w:bidi="ar-SA"/>
    </w:rPr>
  </w:style>
  <w:style w:type="paragraph" w:styleId="Heading1">
    <w:name w:val="heading 1"/>
    <w:basedOn w:val="Heading"/>
    <w:next w:val="BodyText"/>
    <w:qFormat/>
    <w:rsid w:val="002630F5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141F4"/>
    <w:pPr>
      <w:spacing w:before="240" w:after="60" w:line="259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2630F5"/>
  </w:style>
  <w:style w:type="character" w:customStyle="1" w:styleId="FootnoteCharacters">
    <w:name w:val="Footnote Characters"/>
    <w:rsid w:val="002630F5"/>
  </w:style>
  <w:style w:type="character" w:styleId="Hyperlink">
    <w:name w:val="Hyperlink"/>
    <w:semiHidden/>
    <w:rsid w:val="002630F5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2630F5"/>
    <w:pPr>
      <w:keepNext/>
      <w:widowControl w:val="0"/>
      <w:suppressAutoHyphens/>
      <w:spacing w:before="240" w:after="283"/>
      <w:ind w:left="86" w:right="86"/>
    </w:pPr>
    <w:rPr>
      <w:rFonts w:ascii="Albany" w:eastAsia="HG Mincho Light J" w:hAnsi="Albany" w:cs="Arial Unicode MS"/>
      <w:sz w:val="28"/>
      <w:szCs w:val="28"/>
      <w:lang w:val="en-US" w:bidi="he-IL"/>
    </w:rPr>
  </w:style>
  <w:style w:type="paragraph" w:styleId="BodyText">
    <w:name w:val="Body Text"/>
    <w:basedOn w:val="Normal"/>
    <w:semiHidden/>
    <w:rsid w:val="002630F5"/>
    <w:pPr>
      <w:widowControl w:val="0"/>
      <w:suppressAutoHyphens/>
    </w:pPr>
    <w:rPr>
      <w:rFonts w:ascii="Times New Roman" w:eastAsia="Times New Roman" w:hAnsi="Times New Roman" w:cs="Times New Roman"/>
      <w:szCs w:val="24"/>
      <w:lang w:val="en-US" w:bidi="he-IL"/>
    </w:rPr>
  </w:style>
  <w:style w:type="paragraph" w:styleId="List">
    <w:name w:val="List"/>
    <w:basedOn w:val="BodyText"/>
    <w:semiHidden/>
    <w:rsid w:val="002630F5"/>
  </w:style>
  <w:style w:type="paragraph" w:styleId="Caption">
    <w:name w:val="caption"/>
    <w:basedOn w:val="Normal"/>
    <w:qFormat/>
    <w:rsid w:val="002630F5"/>
    <w:pPr>
      <w:widowControl w:val="0"/>
      <w:suppressLineNumbers/>
      <w:suppressAutoHyphens/>
      <w:spacing w:before="120" w:after="120"/>
      <w:ind w:left="86" w:right="86"/>
    </w:pPr>
    <w:rPr>
      <w:rFonts w:ascii="Times New Roman" w:eastAsia="Times New Roman" w:hAnsi="Times New Roman" w:cs="Times New Roman"/>
      <w:i/>
      <w:iCs/>
      <w:szCs w:val="24"/>
      <w:lang w:val="en-US" w:bidi="he-IL"/>
    </w:rPr>
  </w:style>
  <w:style w:type="paragraph" w:customStyle="1" w:styleId="Index">
    <w:name w:val="Index"/>
    <w:basedOn w:val="Normal"/>
    <w:rsid w:val="002630F5"/>
    <w:pPr>
      <w:widowControl w:val="0"/>
      <w:suppressLineNumbers/>
      <w:suppressAutoHyphens/>
      <w:spacing w:before="86" w:after="86"/>
      <w:ind w:left="86" w:right="86"/>
    </w:pPr>
    <w:rPr>
      <w:rFonts w:ascii="Times New Roman" w:eastAsia="Times New Roman" w:hAnsi="Times New Roman" w:cs="Times New Roman"/>
      <w:szCs w:val="24"/>
      <w:lang w:val="en-US" w:bidi="he-IL"/>
    </w:rPr>
  </w:style>
  <w:style w:type="paragraph" w:customStyle="1" w:styleId="HorizontalLine">
    <w:name w:val="Horizontal Line"/>
    <w:basedOn w:val="Normal"/>
    <w:next w:val="BodyText"/>
    <w:rsid w:val="002630F5"/>
    <w:pPr>
      <w:widowControl w:val="0"/>
      <w:pBdr>
        <w:bottom w:val="double" w:sz="1" w:space="0" w:color="808080"/>
      </w:pBdr>
      <w:suppressAutoHyphens/>
      <w:spacing w:after="283"/>
      <w:ind w:left="86" w:right="86"/>
    </w:pPr>
    <w:rPr>
      <w:rFonts w:ascii="Times New Roman" w:eastAsia="Times New Roman" w:hAnsi="Times New Roman" w:cs="Times New Roman"/>
      <w:sz w:val="12"/>
      <w:szCs w:val="24"/>
      <w:lang w:val="en-US" w:bidi="he-IL"/>
    </w:rPr>
  </w:style>
  <w:style w:type="paragraph" w:styleId="EnvelopeReturn">
    <w:name w:val="envelope return"/>
    <w:basedOn w:val="Normal"/>
    <w:semiHidden/>
    <w:rsid w:val="002630F5"/>
    <w:pPr>
      <w:widowControl w:val="0"/>
      <w:suppressAutoHyphens/>
      <w:ind w:left="86" w:right="86"/>
    </w:pPr>
    <w:rPr>
      <w:rFonts w:ascii="Times New Roman" w:eastAsia="Times New Roman" w:hAnsi="Times New Roman" w:cs="Times New Roman"/>
      <w:i/>
      <w:szCs w:val="24"/>
      <w:lang w:val="en-US" w:bidi="he-IL"/>
    </w:rPr>
  </w:style>
  <w:style w:type="paragraph" w:customStyle="1" w:styleId="TableContents">
    <w:name w:val="Table Contents"/>
    <w:basedOn w:val="BodyText"/>
    <w:rsid w:val="002630F5"/>
  </w:style>
  <w:style w:type="paragraph" w:styleId="Footer">
    <w:name w:val="footer"/>
    <w:basedOn w:val="Normal"/>
    <w:link w:val="FooterChar"/>
    <w:uiPriority w:val="99"/>
    <w:rsid w:val="002630F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ascii="Times New Roman" w:eastAsia="Times New Roman" w:hAnsi="Times New Roman" w:cs="Times New Roman"/>
      <w:szCs w:val="24"/>
      <w:lang w:val="en-US" w:bidi="he-IL"/>
    </w:rPr>
  </w:style>
  <w:style w:type="paragraph" w:styleId="Header">
    <w:name w:val="header"/>
    <w:basedOn w:val="Normal"/>
    <w:link w:val="HeaderChar"/>
    <w:uiPriority w:val="99"/>
    <w:rsid w:val="002630F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ascii="Times New Roman" w:eastAsia="Times New Roman" w:hAnsi="Times New Roman" w:cs="Times New Roman"/>
      <w:szCs w:val="24"/>
      <w:lang w:val="en-US" w:bidi="he-IL"/>
    </w:rPr>
  </w:style>
  <w:style w:type="paragraph" w:customStyle="1" w:styleId="TableHeading">
    <w:name w:val="Table Heading"/>
    <w:basedOn w:val="TableContents"/>
    <w:rsid w:val="002630F5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BC5"/>
    <w:pPr>
      <w:widowControl w:val="0"/>
      <w:suppressAutoHyphens/>
      <w:ind w:left="86" w:right="86"/>
    </w:pPr>
    <w:rPr>
      <w:rFonts w:ascii="Tahoma" w:eastAsia="Times New Roman" w:hAnsi="Tahoma" w:cs="Tahoma"/>
      <w:sz w:val="16"/>
      <w:szCs w:val="16"/>
      <w:lang w:val="en-US" w:bidi="he-I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B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66384"/>
    <w:pPr>
      <w:widowControl w:val="0"/>
      <w:suppressAutoHyphens/>
      <w:spacing w:before="86" w:after="86"/>
      <w:ind w:left="720" w:right="86"/>
      <w:contextualSpacing/>
    </w:pPr>
    <w:rPr>
      <w:rFonts w:ascii="Times New Roman" w:eastAsia="Times New Roman" w:hAnsi="Times New Roman" w:cs="Times New Roman"/>
      <w:szCs w:val="24"/>
      <w:lang w:val="en-US" w:bidi="he-IL"/>
    </w:rPr>
  </w:style>
  <w:style w:type="table" w:styleId="TableGrid">
    <w:name w:val="Table Grid"/>
    <w:basedOn w:val="TableNormal"/>
    <w:uiPriority w:val="59"/>
    <w:rsid w:val="006901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00EAD"/>
    <w:rPr>
      <w:sz w:val="24"/>
      <w:szCs w:val="24"/>
    </w:rPr>
  </w:style>
  <w:style w:type="character" w:styleId="FootnoteReference">
    <w:name w:val="footnote reference"/>
    <w:uiPriority w:val="99"/>
    <w:semiHidden/>
    <w:unhideWhenUsed/>
    <w:rsid w:val="008141F4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rsid w:val="008141F4"/>
    <w:rPr>
      <w:rFonts w:ascii="Calibri" w:hAnsi="Calibri"/>
      <w:b/>
      <w:bCs/>
      <w:i/>
      <w:iCs/>
      <w:sz w:val="26"/>
      <w:szCs w:val="26"/>
      <w:lang w:bidi="ar-SA"/>
    </w:rPr>
  </w:style>
  <w:style w:type="paragraph" w:customStyle="1" w:styleId="Default">
    <w:name w:val="Default"/>
    <w:rsid w:val="008141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sl-SI" w:eastAsia="sl-SI" w:bidi="ar-SA"/>
    </w:rPr>
  </w:style>
  <w:style w:type="character" w:customStyle="1" w:styleId="SelPlus">
    <w:name w:val="SelPlus"/>
    <w:uiPriority w:val="1"/>
    <w:qFormat/>
    <w:rsid w:val="000673B0"/>
    <w:rPr>
      <w:rFonts w:ascii="Calibri" w:hAnsi="Calibri"/>
      <w:b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0673B0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21E7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7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user\Downloads\Tempus_IRIS_New_Word_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EE58D71-1AE4-E24C-8C4B-29E68CDD5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C:\Users\user\Downloads\Tempus_IRIS_New_Word_Template (1).dotx</Template>
  <TotalTime>76</TotalTime>
  <Pages>7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Predrag Stevanovic</cp:lastModifiedBy>
  <cp:revision>5</cp:revision>
  <cp:lastPrinted>2016-01-21T07:14:00Z</cp:lastPrinted>
  <dcterms:created xsi:type="dcterms:W3CDTF">2019-12-05T10:05:00Z</dcterms:created>
  <dcterms:modified xsi:type="dcterms:W3CDTF">2019-12-12T20:46:00Z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TC103804601033</vt:lpwstr>
  </property>
</Properties>
</file>