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F9" w:rsidRDefault="003A6AF9" w:rsidP="00C911B8">
      <w:pPr>
        <w:spacing w:after="120" w:line="360" w:lineRule="auto"/>
        <w:ind w:left="284" w:right="902"/>
      </w:pPr>
    </w:p>
    <w:p w:rsidR="00AF43A7" w:rsidRDefault="00AF43A7" w:rsidP="008141F4">
      <w:pPr>
        <w:jc w:val="center"/>
        <w:rPr>
          <w:rFonts w:cs="Arial"/>
          <w:b/>
          <w:bCs/>
          <w:caps/>
          <w:color w:val="000000" w:themeColor="text1"/>
          <w:sz w:val="48"/>
          <w:szCs w:val="48"/>
        </w:rPr>
      </w:pPr>
    </w:p>
    <w:p w:rsidR="00AF43A7" w:rsidRDefault="00AF43A7" w:rsidP="008141F4">
      <w:pPr>
        <w:jc w:val="center"/>
        <w:rPr>
          <w:rFonts w:cs="Arial"/>
          <w:b/>
          <w:bCs/>
          <w:caps/>
          <w:color w:val="000000" w:themeColor="text1"/>
          <w:sz w:val="48"/>
          <w:szCs w:val="48"/>
        </w:rPr>
      </w:pPr>
    </w:p>
    <w:p w:rsidR="008141F4" w:rsidRDefault="008141F4" w:rsidP="008141F4">
      <w:pPr>
        <w:jc w:val="center"/>
        <w:rPr>
          <w:rFonts w:ascii="Arial" w:hAnsi="Arial" w:cs="Arial"/>
          <w:b/>
          <w:bCs/>
          <w:caps/>
          <w:color w:val="31849B"/>
          <w:sz w:val="48"/>
          <w:szCs w:val="48"/>
        </w:rPr>
      </w:pPr>
      <w:r w:rsidRPr="003D77A3">
        <w:rPr>
          <w:rFonts w:cs="Arial"/>
          <w:b/>
          <w:bCs/>
          <w:caps/>
          <w:color w:val="000000" w:themeColor="text1"/>
          <w:sz w:val="48"/>
          <w:szCs w:val="48"/>
        </w:rPr>
        <w:t>EVENT REPORT FORM</w:t>
      </w:r>
    </w:p>
    <w:p w:rsidR="00242A86" w:rsidRDefault="00242A86" w:rsidP="00C911B8">
      <w:pPr>
        <w:spacing w:after="120" w:line="360" w:lineRule="auto"/>
        <w:ind w:left="284" w:right="902"/>
      </w:pPr>
    </w:p>
    <w:p w:rsidR="0032106E" w:rsidRDefault="0032106E" w:rsidP="00C911B8">
      <w:pPr>
        <w:spacing w:after="120" w:line="360" w:lineRule="auto"/>
        <w:ind w:left="284" w:right="902"/>
      </w:pPr>
    </w:p>
    <w:tbl>
      <w:tblPr>
        <w:tblStyle w:val="TableGrid"/>
        <w:tblW w:w="0" w:type="auto"/>
        <w:tblLook w:val="04A0"/>
      </w:tblPr>
      <w:tblGrid>
        <w:gridCol w:w="2977"/>
        <w:gridCol w:w="6662"/>
      </w:tblGrid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title</w:t>
            </w:r>
          </w:p>
        </w:tc>
        <w:tc>
          <w:tcPr>
            <w:tcW w:w="6662" w:type="dxa"/>
          </w:tcPr>
          <w:p w:rsidR="00FC6962" w:rsidRPr="00DF0965" w:rsidRDefault="00DF0965" w:rsidP="00DF0965">
            <w:pPr>
              <w:rPr>
                <w:szCs w:val="24"/>
              </w:rPr>
            </w:pPr>
            <w:r w:rsidRPr="00DF0965">
              <w:rPr>
                <w:rStyle w:val="SelPlus"/>
                <w:rFonts w:ascii="Book Antiqua" w:hAnsi="Book Antiqua"/>
                <w:b w:val="0"/>
                <w:sz w:val="24"/>
                <w:szCs w:val="24"/>
              </w:rPr>
              <w:t>Strengthening Capacities for Higher Education of Pain Medicine  in Western Balkan countries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acronym</w:t>
            </w:r>
          </w:p>
        </w:tc>
        <w:tc>
          <w:tcPr>
            <w:tcW w:w="6662" w:type="dxa"/>
          </w:tcPr>
          <w:p w:rsidR="00FC6962" w:rsidRPr="00DF0965" w:rsidRDefault="00DF0965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>HEPMP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reference number</w:t>
            </w:r>
          </w:p>
        </w:tc>
        <w:tc>
          <w:tcPr>
            <w:tcW w:w="6662" w:type="dxa"/>
          </w:tcPr>
          <w:p w:rsidR="00FC6962" w:rsidRPr="00DF0965" w:rsidRDefault="00DF0965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shd w:val="clear" w:color="auto" w:fill="FFFFFF"/>
              </w:rPr>
              <w:t>585927-EPP-1-2017-1-RS-EPPKA2-CBHE-JP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Coordinator</w:t>
            </w:r>
          </w:p>
        </w:tc>
        <w:tc>
          <w:tcPr>
            <w:tcW w:w="6662" w:type="dxa"/>
          </w:tcPr>
          <w:p w:rsidR="00FC6962" w:rsidRPr="00DF0965" w:rsidRDefault="00FC6962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 xml:space="preserve">University of </w:t>
            </w:r>
            <w:r w:rsidR="00894C80">
              <w:rPr>
                <w:szCs w:val="24"/>
                <w:lang w:val="en-GB"/>
              </w:rPr>
              <w:t>Belgrade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start date</w:t>
            </w:r>
          </w:p>
        </w:tc>
        <w:tc>
          <w:tcPr>
            <w:tcW w:w="6662" w:type="dxa"/>
          </w:tcPr>
          <w:p w:rsidR="00FC6962" w:rsidRPr="00DF0965" w:rsidRDefault="00FC6962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>October 15, 201</w:t>
            </w:r>
            <w:r w:rsidR="00DF0965" w:rsidRPr="00DF0965">
              <w:rPr>
                <w:szCs w:val="24"/>
                <w:lang w:val="en-GB"/>
              </w:rPr>
              <w:t>7</w:t>
            </w:r>
          </w:p>
        </w:tc>
      </w:tr>
      <w:tr w:rsidR="00FC6962" w:rsidRPr="00C53D27" w:rsidTr="006F3E14">
        <w:tc>
          <w:tcPr>
            <w:tcW w:w="2977" w:type="dxa"/>
            <w:shd w:val="clear" w:color="auto" w:fill="D99594" w:themeFill="accent2" w:themeFillTint="99"/>
          </w:tcPr>
          <w:p w:rsidR="00FC6962" w:rsidRPr="00C53D27" w:rsidRDefault="00FC6962" w:rsidP="00BA6BE0">
            <w:pPr>
              <w:rPr>
                <w:lang w:val="en-GB"/>
              </w:rPr>
            </w:pPr>
            <w:r w:rsidRPr="00C53D27">
              <w:rPr>
                <w:lang w:val="en-GB"/>
              </w:rPr>
              <w:t>Project duration</w:t>
            </w:r>
          </w:p>
        </w:tc>
        <w:tc>
          <w:tcPr>
            <w:tcW w:w="6662" w:type="dxa"/>
          </w:tcPr>
          <w:p w:rsidR="00FC6962" w:rsidRPr="00DF0965" w:rsidRDefault="00FC6962" w:rsidP="00DF0965">
            <w:pPr>
              <w:rPr>
                <w:szCs w:val="24"/>
                <w:lang w:val="en-GB"/>
              </w:rPr>
            </w:pPr>
            <w:r w:rsidRPr="00DF0965">
              <w:rPr>
                <w:szCs w:val="24"/>
                <w:lang w:val="en-GB"/>
              </w:rPr>
              <w:t>36 months</w:t>
            </w:r>
          </w:p>
        </w:tc>
      </w:tr>
    </w:tbl>
    <w:p w:rsidR="0032106E" w:rsidRDefault="0032106E" w:rsidP="00C911B8">
      <w:pPr>
        <w:spacing w:after="120" w:line="360" w:lineRule="auto"/>
        <w:ind w:left="284" w:right="902"/>
      </w:pPr>
    </w:p>
    <w:tbl>
      <w:tblPr>
        <w:tblStyle w:val="TableGrid"/>
        <w:tblpPr w:leftFromText="180" w:rightFromText="180" w:vertAnchor="text" w:horzAnchor="margin" w:tblpY="3"/>
        <w:tblW w:w="0" w:type="auto"/>
        <w:tblLayout w:type="fixed"/>
        <w:tblLook w:val="04A0"/>
      </w:tblPr>
      <w:tblGrid>
        <w:gridCol w:w="2943"/>
        <w:gridCol w:w="7473"/>
      </w:tblGrid>
      <w:tr w:rsidR="008141F4" w:rsidTr="00F56E15">
        <w:tc>
          <w:tcPr>
            <w:tcW w:w="2943" w:type="dxa"/>
            <w:shd w:val="clear" w:color="auto" w:fill="D99594" w:themeFill="accent2" w:themeFillTint="99"/>
          </w:tcPr>
          <w:p w:rsidR="008141F4" w:rsidRDefault="008141F4" w:rsidP="008141F4">
            <w:pPr>
              <w:spacing w:after="120"/>
              <w:ind w:right="902"/>
            </w:pPr>
            <w:r>
              <w:t>Event</w:t>
            </w:r>
          </w:p>
        </w:tc>
        <w:tc>
          <w:tcPr>
            <w:tcW w:w="7473" w:type="dxa"/>
          </w:tcPr>
          <w:p w:rsidR="008141F4" w:rsidRDefault="00942944" w:rsidP="008141F4">
            <w:pPr>
              <w:spacing w:after="120"/>
              <w:ind w:right="902"/>
            </w:pPr>
            <w:r>
              <w:rPr>
                <w:rFonts w:eastAsia="Book Antiqua" w:cs="Book Antiqua"/>
                <w:b/>
                <w:bCs/>
                <w:color w:val="000000"/>
                <w:szCs w:val="24"/>
              </w:rPr>
              <w:t>Praktične procedure u kliničkoj medicini, udžbenik</w:t>
            </w:r>
            <w:r w:rsidR="007A554D" w:rsidRPr="007A554D">
              <w:rPr>
                <w:rFonts w:eastAsia="Book Antiqua" w:cs="Book Antiqua"/>
                <w:b/>
                <w:bCs/>
                <w:color w:val="000000"/>
                <w:szCs w:val="24"/>
              </w:rPr>
              <w:t> </w:t>
            </w: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Type of event</w:t>
            </w:r>
          </w:p>
        </w:tc>
        <w:tc>
          <w:tcPr>
            <w:tcW w:w="7473" w:type="dxa"/>
          </w:tcPr>
          <w:p w:rsidR="006B0C99" w:rsidRPr="00942944" w:rsidRDefault="006B0C99" w:rsidP="006B0C99">
            <w:pPr>
              <w:spacing w:line="237" w:lineRule="auto"/>
              <w:ind w:left="289" w:right="233"/>
              <w:rPr>
                <w:rFonts w:eastAsia="Book Antiqua" w:cs="Book Antiqua"/>
                <w:bCs/>
                <w:color w:val="000000"/>
                <w:szCs w:val="24"/>
                <w:lang w:val="en-US"/>
              </w:rPr>
            </w:pPr>
            <w:r w:rsidRPr="00942944">
              <w:rPr>
                <w:rFonts w:eastAsia="Book Antiqua" w:cs="Book Antiqua"/>
                <w:bCs/>
                <w:color w:val="000000"/>
                <w:szCs w:val="24"/>
                <w:lang w:val="en-GB"/>
              </w:rPr>
              <w:t>WP2 Development of joint curricula for PM study program</w:t>
            </w:r>
          </w:p>
          <w:p w:rsidR="00942944" w:rsidRPr="00942944" w:rsidRDefault="00942944" w:rsidP="00942944">
            <w:pPr>
              <w:spacing w:line="237" w:lineRule="auto"/>
              <w:ind w:left="289" w:right="233"/>
              <w:rPr>
                <w:rFonts w:eastAsia="Book Antiqua" w:cs="Book Antiqua"/>
                <w:bCs/>
                <w:color w:val="000000"/>
                <w:szCs w:val="24"/>
                <w:lang w:val="en-US"/>
              </w:rPr>
            </w:pPr>
            <w:r w:rsidRPr="00942944">
              <w:rPr>
                <w:rFonts w:eastAsia="Book Antiqua" w:cs="Book Antiqua"/>
                <w:bCs/>
                <w:color w:val="000000"/>
                <w:szCs w:val="24"/>
                <w:lang w:val="en-US"/>
              </w:rPr>
              <w:t>2.2. Development of HEPMP content and teaching material</w:t>
            </w:r>
          </w:p>
          <w:p w:rsidR="00F56E15" w:rsidRDefault="00F56E15" w:rsidP="00F56E15">
            <w:pPr>
              <w:spacing w:line="237" w:lineRule="auto"/>
              <w:ind w:left="289" w:right="233"/>
              <w:rPr>
                <w:rFonts w:eastAsia="Book Antiqua" w:cs="Book Antiqua"/>
                <w:color w:val="000000"/>
                <w:szCs w:val="24"/>
              </w:rPr>
            </w:pP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Venue</w:t>
            </w:r>
          </w:p>
        </w:tc>
        <w:tc>
          <w:tcPr>
            <w:tcW w:w="7473" w:type="dxa"/>
          </w:tcPr>
          <w:p w:rsidR="00921652" w:rsidRPr="00921652" w:rsidRDefault="00F56E15" w:rsidP="00921652">
            <w:pPr>
              <w:spacing w:line="238" w:lineRule="auto"/>
              <w:ind w:right="-20"/>
              <w:rPr>
                <w:lang w:val="en-US"/>
              </w:rPr>
            </w:pPr>
            <w:r>
              <w:rPr>
                <w:rFonts w:eastAsia="Book Antiqua" w:cs="Book Antiqua"/>
                <w:color w:val="000000"/>
                <w:szCs w:val="24"/>
              </w:rPr>
              <w:t xml:space="preserve"> </w:t>
            </w:r>
            <w:r w:rsidR="00942944">
              <w:rPr>
                <w:rFonts w:eastAsia="Book Antiqua" w:cs="Book Antiqua"/>
                <w:color w:val="000000"/>
                <w:szCs w:val="24"/>
              </w:rPr>
              <w:t>Medicinski fakultet Univerziteta u Beogradu</w:t>
            </w:r>
          </w:p>
          <w:p w:rsidR="00F56E15" w:rsidRDefault="00F56E15" w:rsidP="00F56E15">
            <w:pPr>
              <w:spacing w:line="238" w:lineRule="auto"/>
              <w:ind w:right="-20"/>
              <w:rPr>
                <w:rFonts w:eastAsia="Book Antiqua" w:cs="Book Antiqua"/>
                <w:color w:val="000000"/>
                <w:szCs w:val="24"/>
              </w:rPr>
            </w:pP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Date</w:t>
            </w:r>
          </w:p>
        </w:tc>
        <w:tc>
          <w:tcPr>
            <w:tcW w:w="7473" w:type="dxa"/>
          </w:tcPr>
          <w:p w:rsidR="00F56E15" w:rsidRDefault="00942944" w:rsidP="00F56E15">
            <w:pPr>
              <w:spacing w:line="238" w:lineRule="auto"/>
              <w:ind w:left="967" w:right="-20"/>
              <w:rPr>
                <w:rFonts w:eastAsia="Book Antiqua" w:cs="Book Antiqua"/>
                <w:color w:val="000000"/>
                <w:szCs w:val="24"/>
              </w:rPr>
            </w:pPr>
            <w:r>
              <w:rPr>
                <w:rFonts w:eastAsia="Book Antiqua" w:cs="Book Antiqua"/>
                <w:color w:val="000000"/>
                <w:szCs w:val="24"/>
              </w:rPr>
              <w:t>2.04</w:t>
            </w:r>
            <w:r w:rsidR="00F56E15">
              <w:rPr>
                <w:rFonts w:eastAsia="Book Antiqua" w:cs="Book Antiqua"/>
                <w:color w:val="000000"/>
                <w:szCs w:val="24"/>
              </w:rPr>
              <w:t>.2021.</w:t>
            </w: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Organizer</w:t>
            </w:r>
          </w:p>
        </w:tc>
        <w:tc>
          <w:tcPr>
            <w:tcW w:w="7473" w:type="dxa"/>
          </w:tcPr>
          <w:p w:rsidR="00F56E15" w:rsidRDefault="00921652" w:rsidP="008141F4">
            <w:pPr>
              <w:spacing w:after="120"/>
              <w:ind w:right="902"/>
            </w:pPr>
            <w:r>
              <w:t>MFUB</w:t>
            </w: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Reporting date</w:t>
            </w:r>
          </w:p>
        </w:tc>
        <w:tc>
          <w:tcPr>
            <w:tcW w:w="7473" w:type="dxa"/>
          </w:tcPr>
          <w:p w:rsidR="00F56E15" w:rsidRDefault="000E5C4B" w:rsidP="008141F4">
            <w:pPr>
              <w:spacing w:after="120"/>
              <w:ind w:right="902"/>
            </w:pPr>
            <w:r>
              <w:t>20.05</w:t>
            </w:r>
            <w:r w:rsidR="00F56E15">
              <w:t>.2021.</w:t>
            </w:r>
          </w:p>
        </w:tc>
      </w:tr>
      <w:tr w:rsidR="00F56E15" w:rsidTr="00F56E15">
        <w:tc>
          <w:tcPr>
            <w:tcW w:w="2943" w:type="dxa"/>
            <w:shd w:val="clear" w:color="auto" w:fill="D99594" w:themeFill="accent2" w:themeFillTint="99"/>
          </w:tcPr>
          <w:p w:rsidR="00F56E15" w:rsidRDefault="00F56E15" w:rsidP="008141F4">
            <w:pPr>
              <w:spacing w:after="120"/>
              <w:ind w:right="902"/>
            </w:pPr>
            <w:r>
              <w:t>Report author(s)</w:t>
            </w:r>
          </w:p>
        </w:tc>
        <w:tc>
          <w:tcPr>
            <w:tcW w:w="7473" w:type="dxa"/>
          </w:tcPr>
          <w:p w:rsidR="00F56E15" w:rsidRDefault="00921652" w:rsidP="00921652">
            <w:pPr>
              <w:spacing w:after="120"/>
              <w:ind w:right="902"/>
            </w:pPr>
            <w:r>
              <w:t>Prof. dr Predrag Stevanovic</w:t>
            </w:r>
          </w:p>
        </w:tc>
      </w:tr>
    </w:tbl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F67117" w:rsidP="00242A86">
      <w:bookmarkStart w:id="0" w:name="_GoBack"/>
      <w:bookmarkEnd w:id="0"/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.7pt;margin-top:10.7pt;width:448.8pt;height:69.9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" strokecolor="red">
            <v:textbox style="mso-fit-shape-to-text:t">
              <w:txbxContent>
                <w:p w:rsidR="00197551" w:rsidRDefault="00197551" w:rsidP="00B21E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</w:pPr>
                  <w:r w:rsidRPr="00F074A8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Project number:585927-EPP-1-2017-1-RS-EPPKA2-C</w:t>
                  </w: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BHE-JP (2017 – 3109 / 001 – 001)</w:t>
                  </w:r>
                </w:p>
                <w:p w:rsidR="00197551" w:rsidRPr="003025A0" w:rsidRDefault="00197551" w:rsidP="00B21E71">
                  <w:pPr>
                    <w:jc w:val="center"/>
                    <w:rPr>
                      <w:lang w:val="en-US"/>
                    </w:rPr>
                  </w:pPr>
                </w:p>
                <w:p w:rsidR="00197551" w:rsidRPr="00C82908" w:rsidRDefault="00197551" w:rsidP="00B21E7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i/>
                      <w:sz w:val="20"/>
                      <w:szCs w:val="20"/>
                    </w:rPr>
                  </w:pPr>
                  <w:r w:rsidRPr="00C82908">
                    <w:rPr>
                      <w:i/>
                      <w:sz w:val="20"/>
                      <w:szCs w:val="20"/>
                    </w:rPr>
                    <w:t>This project has been funded with support from the European Commission.</w:t>
                  </w:r>
                </w:p>
                <w:p w:rsidR="00197551" w:rsidRPr="003025A0" w:rsidRDefault="00197551" w:rsidP="00B21E71">
                  <w:pPr>
                    <w:jc w:val="center"/>
                    <w:rPr>
                      <w:lang w:val="en-US"/>
                    </w:rPr>
                  </w:pPr>
                  <w:r w:rsidRPr="00C82908">
                    <w:rPr>
                      <w:i/>
                      <w:sz w:val="20"/>
                      <w:szCs w:val="20"/>
                    </w:rPr>
                    <w:t>This publication [communication] reflects the views only of the author, and the Commission cannot be held responsible for any use which ma y be made of the information contained therein.</w:t>
                  </w:r>
                </w:p>
              </w:txbxContent>
            </v:textbox>
          </v:shape>
        </w:pict>
      </w:r>
    </w:p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Pr="00242A86" w:rsidRDefault="00242A86" w:rsidP="00242A86"/>
    <w:p w:rsidR="00242A86" w:rsidRDefault="00242A86" w:rsidP="00242A86"/>
    <w:p w:rsidR="00E37B6C" w:rsidRDefault="00E37B6C" w:rsidP="00242A86"/>
    <w:p w:rsidR="007A554D" w:rsidRDefault="007A554D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</w:p>
    <w:p w:rsidR="008141F4" w:rsidRPr="008141F4" w:rsidRDefault="008141F4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8141F4">
        <w:rPr>
          <w:rFonts w:cs="Arial"/>
          <w:b/>
          <w:color w:val="000000" w:themeColor="text1"/>
          <w:sz w:val="32"/>
          <w:szCs w:val="32"/>
        </w:rPr>
        <w:lastRenderedPageBreak/>
        <w:t xml:space="preserve">EVENT DESCRIPTION </w:t>
      </w:r>
    </w:p>
    <w:p w:rsidR="008141F4" w:rsidRPr="008141F4" w:rsidRDefault="008141F4" w:rsidP="008141F4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8141F4">
        <w:rPr>
          <w:rFonts w:cs="Arial"/>
          <w:b/>
          <w:color w:val="000000" w:themeColor="text1"/>
          <w:sz w:val="32"/>
          <w:szCs w:val="32"/>
        </w:rPr>
        <w:t>with special reference to goals and outcomes</w:t>
      </w:r>
    </w:p>
    <w:p w:rsidR="008141F4" w:rsidRPr="008141F4" w:rsidRDefault="008141F4" w:rsidP="008141F4">
      <w:pPr>
        <w:rPr>
          <w:rFonts w:cs="Arial"/>
          <w:b/>
          <w:color w:val="404040"/>
          <w:sz w:val="28"/>
          <w:szCs w:val="28"/>
        </w:rPr>
      </w:pPr>
    </w:p>
    <w:tbl>
      <w:tblPr>
        <w:tblW w:w="8993" w:type="dxa"/>
        <w:jc w:val="center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4A0"/>
      </w:tblPr>
      <w:tblGrid>
        <w:gridCol w:w="4803"/>
        <w:gridCol w:w="4190"/>
      </w:tblGrid>
      <w:tr w:rsidR="008141F4" w:rsidRPr="008141F4" w:rsidTr="006F3E14">
        <w:trPr>
          <w:jc w:val="center"/>
        </w:trPr>
        <w:tc>
          <w:tcPr>
            <w:tcW w:w="4803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8141F4" w:rsidRPr="008141F4" w:rsidRDefault="008141F4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</w:pPr>
            <w:r w:rsidRPr="008141F4">
              <w:rPr>
                <w:rFonts w:ascii="Book Antiqua" w:hAnsi="Book Antiqua" w:cs="Arial"/>
                <w:i w:val="0"/>
                <w:color w:val="000000" w:themeColor="text1"/>
                <w:sz w:val="24"/>
                <w:szCs w:val="24"/>
                <w:lang w:val="en-GB" w:eastAsia="sl-SI"/>
              </w:rPr>
              <w:t>Number of participants at the event</w:t>
            </w:r>
          </w:p>
        </w:tc>
        <w:tc>
          <w:tcPr>
            <w:tcW w:w="4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1F4" w:rsidRPr="008141F4" w:rsidRDefault="008141F4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b w:val="0"/>
                <w:i w:val="0"/>
                <w:color w:val="000000" w:themeColor="text1"/>
                <w:sz w:val="22"/>
                <w:szCs w:val="22"/>
                <w:lang w:val="en-GB" w:eastAsia="sl-SI"/>
              </w:rPr>
            </w:pPr>
          </w:p>
        </w:tc>
      </w:tr>
      <w:tr w:rsidR="008141F4" w:rsidRPr="008141F4" w:rsidTr="006F3E14">
        <w:trPr>
          <w:jc w:val="center"/>
        </w:trPr>
        <w:tc>
          <w:tcPr>
            <w:tcW w:w="4803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8141F4" w:rsidRPr="008141F4" w:rsidRDefault="008141F4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</w:pPr>
            <w:r w:rsidRPr="008141F4"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  <w:t xml:space="preserve">Participants (organisations) </w:t>
            </w:r>
          </w:p>
        </w:tc>
        <w:tc>
          <w:tcPr>
            <w:tcW w:w="4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41F4" w:rsidRPr="008141F4" w:rsidRDefault="008141F4" w:rsidP="00921652">
            <w:pPr>
              <w:pStyle w:val="Heading5"/>
              <w:spacing w:before="40" w:after="40" w:line="240" w:lineRule="auto"/>
              <w:rPr>
                <w:rFonts w:ascii="Book Antiqua" w:hAnsi="Book Antiqua" w:cs="Arial"/>
                <w:b w:val="0"/>
                <w:i w:val="0"/>
                <w:color w:val="000000" w:themeColor="text1"/>
                <w:sz w:val="22"/>
                <w:szCs w:val="22"/>
                <w:lang w:val="en-GB" w:eastAsia="sl-SI"/>
              </w:rPr>
            </w:pPr>
          </w:p>
        </w:tc>
      </w:tr>
      <w:tr w:rsidR="008141F4" w:rsidRPr="008141F4" w:rsidTr="006F3E14">
        <w:trPr>
          <w:jc w:val="center"/>
        </w:trPr>
        <w:tc>
          <w:tcPr>
            <w:tcW w:w="8993" w:type="dxa"/>
            <w:gridSpan w:val="2"/>
            <w:shd w:val="clear" w:color="auto" w:fill="F2DBDB" w:themeFill="accent2" w:themeFillTint="33"/>
            <w:vAlign w:val="center"/>
          </w:tcPr>
          <w:p w:rsidR="008141F4" w:rsidRPr="008141F4" w:rsidRDefault="008141F4" w:rsidP="00BA6BE0">
            <w:pPr>
              <w:pStyle w:val="Heading5"/>
              <w:spacing w:before="40" w:after="40" w:line="240" w:lineRule="auto"/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</w:pPr>
            <w:r w:rsidRPr="008141F4">
              <w:rPr>
                <w:rFonts w:ascii="Book Antiqua" w:hAnsi="Book Antiqua" w:cs="Arial"/>
                <w:i w:val="0"/>
                <w:color w:val="000000" w:themeColor="text1"/>
                <w:sz w:val="20"/>
                <w:szCs w:val="20"/>
                <w:lang w:val="en-GB" w:eastAsia="sl-SI"/>
              </w:rPr>
              <w:t xml:space="preserve">Event description: </w:t>
            </w:r>
          </w:p>
        </w:tc>
      </w:tr>
      <w:tr w:rsidR="008141F4" w:rsidRPr="00E55B7D" w:rsidTr="008141F4">
        <w:trPr>
          <w:trHeight w:val="11350"/>
          <w:jc w:val="center"/>
        </w:trPr>
        <w:tc>
          <w:tcPr>
            <w:tcW w:w="8993" w:type="dxa"/>
            <w:gridSpan w:val="2"/>
            <w:shd w:val="clear" w:color="auto" w:fill="auto"/>
            <w:vAlign w:val="center"/>
          </w:tcPr>
          <w:p w:rsidR="00942944" w:rsidRDefault="00942944" w:rsidP="000E5C4B">
            <w:pPr>
              <w:pStyle w:val="Heading5"/>
              <w:spacing w:before="40" w:after="40" w:line="360" w:lineRule="auto"/>
              <w:rPr>
                <w:rFonts w:ascii="Arial Narrow" w:hAnsi="Arial Narrow" w:cs="Arial"/>
                <w:b w:val="0"/>
                <w:i w:val="0"/>
                <w:sz w:val="24"/>
                <w:szCs w:val="24"/>
                <w:lang w:val="bs-Latn-BA" w:eastAsia="sl-SI"/>
              </w:rPr>
            </w:pPr>
            <w:r w:rsidRPr="00942944">
              <w:rPr>
                <w:rFonts w:ascii="Arial Narrow" w:hAnsi="Arial Narrow" w:cs="Arial"/>
                <w:b w:val="0"/>
                <w:i w:val="0"/>
                <w:sz w:val="24"/>
                <w:szCs w:val="24"/>
                <w:lang w:val="bs-Latn-BA" w:eastAsia="sl-SI"/>
              </w:rPr>
              <w:t>Nastavno veće Medicinskog fakulteta Univerziteta u Beogradu na sednici održanoj 2.4.2021. godine, donelo je odluku br. 1939/8 da se udžbenik Praktične procedure u kliničkoj medicini, urednika prof. dr Predraga Stevanovića i grupe autora, prihvati kao zvanični udžbenik za studente integrisanih akademskih studija medicine</w:t>
            </w:r>
          </w:p>
          <w:p w:rsidR="00942944" w:rsidRDefault="00942944" w:rsidP="000E5C4B">
            <w:pPr>
              <w:pStyle w:val="Heading5"/>
              <w:spacing w:before="40" w:after="40" w:line="360" w:lineRule="auto"/>
              <w:rPr>
                <w:rFonts w:ascii="Arial Narrow" w:hAnsi="Arial Narrow" w:cs="Arial"/>
                <w:b w:val="0"/>
                <w:i w:val="0"/>
                <w:sz w:val="24"/>
                <w:szCs w:val="24"/>
                <w:lang w:val="bs-Latn-BA" w:eastAsia="sl-SI"/>
              </w:rPr>
            </w:pPr>
          </w:p>
          <w:p w:rsidR="00942944" w:rsidRDefault="00942944" w:rsidP="000E5C4B">
            <w:pPr>
              <w:pStyle w:val="Heading5"/>
              <w:spacing w:before="40" w:after="40" w:line="360" w:lineRule="auto"/>
              <w:rPr>
                <w:rFonts w:ascii="Arial Narrow" w:hAnsi="Arial Narrow" w:cs="Arial"/>
                <w:b w:val="0"/>
                <w:i w:val="0"/>
                <w:sz w:val="24"/>
                <w:szCs w:val="24"/>
                <w:lang w:val="bs-Latn-BA" w:eastAsia="sl-SI"/>
              </w:rPr>
            </w:pPr>
            <w:r w:rsidRPr="00942944">
              <w:rPr>
                <w:rFonts w:ascii="Arial Narrow" w:hAnsi="Arial Narrow" w:cs="Arial"/>
                <w:b w:val="0"/>
                <w:i w:val="0"/>
                <w:sz w:val="24"/>
                <w:szCs w:val="24"/>
                <w:lang w:val="bs-Latn-BA" w:eastAsia="sl-SI"/>
              </w:rPr>
              <w:t xml:space="preserve">Bezbednost pacijenata, zaštita njihovog integriteta i dostojanstva glavni je cilj tokom obuke i savladavanja određenih interventnih procedura i veština. Sticanje ovih znanja, za studente, u kliničkom radu otvara brojna pitanja: etička, stručna i moralna. Simulacijsko učenje je uvedeno, pre svega, u oblastima gde postoji visoka verovatnoća neželjenih i katastrofalnih događaja. Mi ne možemo da izmenimo ljudski faktor, ali možemo da promenimo okolnosti i uslove u kojima se radi i u kojima studenti i mladi lekari stiču znanja i ovladavaju veštinama Formiranje tima, razvoj kompetencija i neophodnih karakteristika kao što su: hijerarhija, liderstvo, koordinacija, donošenje odluke, komunikacija, strategija, podela informacija i ovladavanje stresnom situacijom mogu se učiti u Simulacionom centru. Učenje i vežbanje bez nanošenja potencijalne opasnosti pacijentima povećavaju njihovu bezbednost. Uvežbavanje pojedinih procedura na pacijentu nije humano ni etički opravdano, a ni prihvatljivo za pacijenta. Procedure izvedene upotrebom simulatora mogu biti: interepretirane, ponavljane, poboljšane i analizirane. Za razliku od realnog života, nema rizika i opasnosti za pacijente ukoliko nastane greška. Simulacioni centar pruža mogućnost edukacije i praktične obuke: budućih lekara, medicinskih timova, studenata medicine, učenika medicinskih škola i mentora na fakultetu, a radi poboljšanja bezbednosti lečenja pacijenata i njihovog zadovoljstva. Udžbenik Praktične procedure u kliničkoj medicini je rezultat dugogodišnjeg, osmišljenog i planiranog rada u razvoju simulacijskog učenja. Autori su priredili knjigu s puno algoritama, ilustracija i detaljnih opisa interventnih procedura i kliničkih scenarija za brojna urgentna stanja. U 36 poglavlja opisani su postupci: pripreme lekova, intravenske aplikacije lekova i infuzionih rastvora, interventnog obezbeđivanja disajnog puta, kardiopulmonalne reanimacije, kao i algoritmi lečenja urgentnih kliničkih stanja. Svesni toga da je reč o dinamičnoj grani medicine, u kojoj lečenje zahteva multidiscplinarni pristup, uneta su poglavlja koja čitaocu, koji nema dovoljno iskustva u ovoj oblasti, </w:t>
            </w:r>
            <w:r w:rsidRPr="00942944">
              <w:rPr>
                <w:rFonts w:ascii="Arial Narrow" w:hAnsi="Arial Narrow" w:cs="Arial"/>
                <w:b w:val="0"/>
                <w:i w:val="0"/>
                <w:sz w:val="24"/>
                <w:szCs w:val="24"/>
                <w:lang w:val="bs-Latn-BA" w:eastAsia="sl-SI"/>
              </w:rPr>
              <w:lastRenderedPageBreak/>
              <w:t xml:space="preserve">pružaju širinu i uvid u ukupnu dimenziju interventnog lečenja hitnih stanja, ali i daju osnovne smernice za klinički rad. Knjiga je zamišljena i realizovana za sticanje teoretskih znanja kao osnove pred praktičnu obuku studenata u Simulacionom centru. Utemeljena je na dugogodišnjem iskustvu i predstavlja savremen i detaljan pristup, i dalje otvorenom i intrigirajućem polju simulacijskog učenja. Format knjige nije uobičajen. Predviđeno je da se izda kao elektronski udžbenik, što je u skladu sa savremenim mogućnostima elektronskog učenja i stalne dostupnosti pisanog sadržaja, a mlade generacije studenata su upravo tako nastrojene. Ovo otvara i novo područje u izdavačkoj delatnosti Medicinskog fakulteta u Beogradu, jer je ovo prvi udžbenik koji se priprema u ovakvom formatu. Uveren sam da će Praktične procedure u kliničkoj medicini značajno doprineti razvoju simulacijskog učenja kod nas i njegovoj implementaciji u program studentske redovne nastave. Pokazano je da simulacijsko učenje skraćuje krivulju učenja, obezbeđuje razvoj manuelnih veština pre kontakta s pacijentom, poboljšava rad u stresnim situacijama, timski rad i optimizuje komunikaciju. To je, zapravo, mnogo više nego nova metoda edukacije, a konačnu ocenu kvaliteta ove knjige, kao i napora da se osavremeni učenje kroz rad u Simulacionom centru, daće studenti, kojima je ovaj udžbenik i namenjen. </w:t>
            </w:r>
          </w:p>
          <w:p w:rsidR="008141F4" w:rsidRPr="00197551" w:rsidRDefault="008141F4" w:rsidP="00942944">
            <w:pPr>
              <w:tabs>
                <w:tab w:val="left" w:pos="7881"/>
              </w:tabs>
              <w:spacing w:line="360" w:lineRule="auto"/>
              <w:rPr>
                <w:rFonts w:ascii="Helvetica" w:hAnsi="Helvetica"/>
                <w:shd w:val="clear" w:color="auto" w:fill="FFFFFF"/>
              </w:rPr>
            </w:pPr>
          </w:p>
        </w:tc>
      </w:tr>
    </w:tbl>
    <w:p w:rsidR="00A164AF" w:rsidRDefault="00A164AF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A164AF" w:rsidRDefault="00A164AF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BF07F4" w:rsidRDefault="00BF07F4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BF07F4" w:rsidRDefault="00BF07F4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BF07F4" w:rsidRDefault="00BF07F4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F95DB1" w:rsidRDefault="00F95DB1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</w:p>
    <w:p w:rsidR="008141F4" w:rsidRDefault="007A049E" w:rsidP="008141F4">
      <w:pPr>
        <w:jc w:val="center"/>
        <w:rPr>
          <w:rFonts w:cs="Arial"/>
          <w:b/>
          <w:color w:val="000000" w:themeColor="text1"/>
          <w:sz w:val="32"/>
          <w:szCs w:val="32"/>
          <w:lang w:val="sl-SI" w:eastAsia="sl-SI"/>
        </w:rPr>
      </w:pPr>
      <w:r w:rsidRPr="008141F4">
        <w:rPr>
          <w:rFonts w:cs="Arial"/>
          <w:b/>
          <w:color w:val="000000" w:themeColor="text1"/>
          <w:sz w:val="32"/>
          <w:szCs w:val="32"/>
          <w:lang w:val="sl-SI" w:eastAsia="sl-SI"/>
        </w:rPr>
        <w:lastRenderedPageBreak/>
        <w:t>Attachments</w:t>
      </w:r>
    </w:p>
    <w:p w:rsidR="00FC6962" w:rsidRPr="008141F4" w:rsidRDefault="00FC6962" w:rsidP="008141F4">
      <w:pPr>
        <w:jc w:val="center"/>
        <w:rPr>
          <w:rFonts w:cs="Arial"/>
          <w:color w:val="000000" w:themeColor="text1"/>
          <w:sz w:val="32"/>
          <w:szCs w:val="32"/>
          <w:lang w:val="sl-SI" w:eastAsia="sl-SI"/>
        </w:rPr>
      </w:pPr>
    </w:p>
    <w:tbl>
      <w:tblPr>
        <w:tblW w:w="9072" w:type="dxa"/>
        <w:jc w:val="center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/>
      </w:tblPr>
      <w:tblGrid>
        <w:gridCol w:w="3294"/>
        <w:gridCol w:w="5778"/>
      </w:tblGrid>
      <w:tr w:rsidR="008141F4" w:rsidRPr="008141F4" w:rsidTr="006F3E14">
        <w:trPr>
          <w:trHeight w:val="95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Agenda (pdf)</w:t>
            </w:r>
          </w:p>
        </w:tc>
        <w:tc>
          <w:tcPr>
            <w:tcW w:w="5778" w:type="dxa"/>
          </w:tcPr>
          <w:p w:rsidR="008141F4" w:rsidRPr="0002335F" w:rsidRDefault="008141F4" w:rsidP="000E5C4B">
            <w:pPr>
              <w:autoSpaceDE w:val="0"/>
              <w:autoSpaceDN w:val="0"/>
              <w:adjustRightInd w:val="0"/>
              <w:rPr>
                <w:rFonts w:ascii="BookAntiqua" w:eastAsia="Times New Roman" w:hAnsi="BookAntiqua" w:cs="BookAntiqua"/>
                <w:b/>
                <w:sz w:val="22"/>
                <w:lang w:val="en-US"/>
              </w:rPr>
            </w:pP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Attendance sheet (pdf)</w:t>
            </w:r>
          </w:p>
        </w:tc>
        <w:tc>
          <w:tcPr>
            <w:tcW w:w="5778" w:type="dxa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sl-SI" w:eastAsia="sl-SI"/>
              </w:rPr>
            </w:pP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Photos (jpg)</w:t>
            </w:r>
          </w:p>
        </w:tc>
        <w:tc>
          <w:tcPr>
            <w:tcW w:w="5778" w:type="dxa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sl-SI" w:eastAsia="sl-SI"/>
              </w:rPr>
            </w:pP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3E6225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Deliverable</w:t>
            </w:r>
            <w:r w:rsidR="008141F4"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 xml:space="preserve"> (pdf)</w:t>
            </w:r>
          </w:p>
        </w:tc>
        <w:tc>
          <w:tcPr>
            <w:tcW w:w="5778" w:type="dxa"/>
          </w:tcPr>
          <w:p w:rsidR="00AD6596" w:rsidRDefault="00942944" w:rsidP="00AD6596">
            <w:pPr>
              <w:autoSpaceDE w:val="0"/>
              <w:autoSpaceDN w:val="0"/>
              <w:adjustRightInd w:val="0"/>
              <w:spacing w:before="40" w:after="40"/>
            </w:pPr>
            <w:r>
              <w:t>PRAKTIČNE procedure u kliničkoj medicini / [grupa autora] ; urednik Predrag Stevanović. - 1. izd. - Beograd : Medicinski fakultet Univerziteta, 2021 (Beograd : Sprint). - [VIII], 395 str</w:t>
            </w:r>
          </w:p>
          <w:p w:rsidR="00AD6596" w:rsidRDefault="00AD6596" w:rsidP="00AD6596">
            <w:pPr>
              <w:autoSpaceDE w:val="0"/>
              <w:autoSpaceDN w:val="0"/>
              <w:adjustRightInd w:val="0"/>
              <w:spacing w:before="40" w:after="40"/>
            </w:pPr>
            <w:r>
              <w:t>Predrag Stevanović.</w:t>
            </w:r>
          </w:p>
          <w:p w:rsidR="00AD6596" w:rsidRDefault="00942944" w:rsidP="00AD6596">
            <w:pPr>
              <w:autoSpaceDE w:val="0"/>
              <w:autoSpaceDN w:val="0"/>
              <w:adjustRightInd w:val="0"/>
              <w:spacing w:before="40" w:after="40"/>
            </w:pPr>
            <w:r>
              <w:t xml:space="preserve">ISBN 978-86-7117-646-0 1. </w:t>
            </w:r>
          </w:p>
          <w:p w:rsidR="008141F4" w:rsidRPr="007A049E" w:rsidRDefault="00942944" w:rsidP="00AD659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 w:themeColor="text1"/>
                <w:sz w:val="22"/>
                <w:lang w:val="sl-SI" w:eastAsia="sl-SI"/>
              </w:rPr>
            </w:pPr>
            <w:r>
              <w:t>COBISS.SR-ID 45196041</w:t>
            </w: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127D6B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Quality control</w:t>
            </w:r>
            <w:r w:rsidR="008141F4"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 xml:space="preserve"> (pdf)</w:t>
            </w:r>
          </w:p>
        </w:tc>
        <w:tc>
          <w:tcPr>
            <w:tcW w:w="5778" w:type="dxa"/>
          </w:tcPr>
          <w:p w:rsidR="008141F4" w:rsidRPr="00127D6B" w:rsidRDefault="008141F4" w:rsidP="005747BC">
            <w:pPr>
              <w:autoSpaceDE w:val="0"/>
              <w:autoSpaceDN w:val="0"/>
              <w:adjustRightInd w:val="0"/>
              <w:rPr>
                <w:rFonts w:ascii="BookAntiqua" w:eastAsia="Times New Roman" w:hAnsi="BookAntiqua" w:cs="BookAntiqua"/>
                <w:sz w:val="22"/>
                <w:lang w:val="en-US"/>
              </w:rPr>
            </w:pPr>
          </w:p>
        </w:tc>
      </w:tr>
      <w:tr w:rsidR="008141F4" w:rsidRPr="008141F4" w:rsidTr="0095251E">
        <w:trPr>
          <w:trHeight w:val="2617"/>
          <w:jc w:val="center"/>
        </w:trPr>
        <w:tc>
          <w:tcPr>
            <w:tcW w:w="3294" w:type="dxa"/>
            <w:shd w:val="clear" w:color="auto" w:fill="D99594" w:themeFill="accent2" w:themeFillTint="99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Presentations (pdf)</w:t>
            </w:r>
          </w:p>
        </w:tc>
        <w:tc>
          <w:tcPr>
            <w:tcW w:w="5778" w:type="dxa"/>
          </w:tcPr>
          <w:p w:rsidR="007A554D" w:rsidRPr="007A554D" w:rsidRDefault="007A554D" w:rsidP="00F631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color w:val="000000" w:themeColor="text1"/>
                <w:sz w:val="22"/>
                <w:lang w:val="sl-SI" w:eastAsia="sl-SI"/>
              </w:rPr>
            </w:pPr>
          </w:p>
        </w:tc>
      </w:tr>
      <w:tr w:rsidR="008141F4" w:rsidRPr="008141F4" w:rsidTr="006F3E14">
        <w:trPr>
          <w:trHeight w:val="93"/>
          <w:jc w:val="center"/>
        </w:trPr>
        <w:tc>
          <w:tcPr>
            <w:tcW w:w="9072" w:type="dxa"/>
            <w:gridSpan w:val="2"/>
            <w:shd w:val="clear" w:color="auto" w:fill="F2DBDB" w:themeFill="accent2" w:themeFillTint="33"/>
          </w:tcPr>
          <w:p w:rsidR="008141F4" w:rsidRPr="007A049E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</w:pPr>
            <w:r w:rsidRPr="007A049E">
              <w:rPr>
                <w:rFonts w:cs="Arial"/>
                <w:b/>
                <w:color w:val="000000" w:themeColor="text1"/>
                <w:sz w:val="22"/>
                <w:lang w:val="sl-SI" w:eastAsia="sl-SI"/>
              </w:rPr>
              <w:t>Other personal remarks</w:t>
            </w:r>
          </w:p>
        </w:tc>
      </w:tr>
      <w:tr w:rsidR="008141F4" w:rsidRPr="00E55B7D" w:rsidTr="0095251E">
        <w:trPr>
          <w:trHeight w:val="619"/>
          <w:jc w:val="center"/>
        </w:trPr>
        <w:tc>
          <w:tcPr>
            <w:tcW w:w="9072" w:type="dxa"/>
            <w:gridSpan w:val="2"/>
          </w:tcPr>
          <w:p w:rsidR="008141F4" w:rsidRPr="00E55B7D" w:rsidRDefault="008141F4" w:rsidP="00BA6BE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404040"/>
                <w:lang w:val="sl-SI" w:eastAsia="sl-SI"/>
              </w:rPr>
            </w:pPr>
          </w:p>
          <w:p w:rsidR="008141F4" w:rsidRPr="00E55B7D" w:rsidRDefault="008141F4" w:rsidP="005747B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404040"/>
                <w:lang w:val="sl-SI" w:eastAsia="sl-SI"/>
              </w:rPr>
            </w:pPr>
          </w:p>
        </w:tc>
      </w:tr>
    </w:tbl>
    <w:p w:rsidR="008141F4" w:rsidRPr="00C3074C" w:rsidRDefault="008141F4" w:rsidP="008141F4">
      <w:pPr>
        <w:autoSpaceDE w:val="0"/>
        <w:autoSpaceDN w:val="0"/>
        <w:adjustRightInd w:val="0"/>
        <w:spacing w:after="173"/>
        <w:rPr>
          <w:rFonts w:cs="Arial"/>
          <w:color w:val="404040"/>
          <w:u w:val="single"/>
          <w:lang w:eastAsia="sl-SI"/>
        </w:rPr>
      </w:pPr>
    </w:p>
    <w:p w:rsidR="0032106E" w:rsidRDefault="00197551" w:rsidP="00197551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  <w:r>
        <w:rPr>
          <w:rFonts w:cs="Arial"/>
          <w:color w:val="000000" w:themeColor="text1"/>
          <w:lang w:eastAsia="sl-SI"/>
        </w:rPr>
        <w:t xml:space="preserve">                                                                </w:t>
      </w:r>
      <w:r w:rsidR="0032106E" w:rsidRPr="00C3074C">
        <w:rPr>
          <w:rFonts w:cs="Arial"/>
          <w:color w:val="000000" w:themeColor="text1"/>
          <w:lang w:eastAsia="sl-SI"/>
        </w:rPr>
        <w:t>Sign</w:t>
      </w:r>
      <w:r w:rsidR="0032106E">
        <w:rPr>
          <w:rFonts w:cs="Arial"/>
          <w:color w:val="000000" w:themeColor="text1"/>
          <w:lang w:eastAsia="sl-SI"/>
        </w:rPr>
        <w:t>ature</w:t>
      </w:r>
    </w:p>
    <w:p w:rsidR="0095251E" w:rsidRDefault="00197551" w:rsidP="0095251E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  <w:r>
        <w:rPr>
          <w:rFonts w:cs="Arial"/>
          <w:color w:val="000000" w:themeColor="text1"/>
          <w:lang w:eastAsia="sl-SI"/>
        </w:rPr>
        <w:t xml:space="preserve">Belgrade, </w:t>
      </w:r>
      <w:r w:rsidR="000E5C4B">
        <w:rPr>
          <w:rFonts w:cs="Arial"/>
          <w:color w:val="000000" w:themeColor="text1"/>
          <w:lang w:eastAsia="sl-SI"/>
        </w:rPr>
        <w:t>20.05</w:t>
      </w:r>
      <w:r w:rsidR="0095251E">
        <w:rPr>
          <w:rFonts w:cs="Arial"/>
          <w:color w:val="000000" w:themeColor="text1"/>
          <w:lang w:eastAsia="sl-SI"/>
        </w:rPr>
        <w:t>.2021.                                                             Prof. dr Predrag Stevanovic</w:t>
      </w:r>
    </w:p>
    <w:p w:rsidR="0095251E" w:rsidRDefault="0095251E" w:rsidP="0095251E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</w:p>
    <w:p w:rsidR="0095251E" w:rsidRDefault="0095251E" w:rsidP="0095251E">
      <w:pPr>
        <w:autoSpaceDE w:val="0"/>
        <w:autoSpaceDN w:val="0"/>
        <w:adjustRightInd w:val="0"/>
        <w:spacing w:after="173"/>
        <w:jc w:val="center"/>
        <w:rPr>
          <w:rFonts w:cs="Arial"/>
          <w:color w:val="000000" w:themeColor="text1"/>
          <w:lang w:eastAsia="sl-SI"/>
        </w:rPr>
      </w:pPr>
    </w:p>
    <w:p w:rsidR="0095251E" w:rsidRDefault="0095251E" w:rsidP="0095251E">
      <w:pPr>
        <w:autoSpaceDE w:val="0"/>
        <w:autoSpaceDN w:val="0"/>
        <w:adjustRightInd w:val="0"/>
        <w:spacing w:after="173"/>
        <w:jc w:val="right"/>
        <w:rPr>
          <w:rFonts w:cs="Arial"/>
          <w:color w:val="000000" w:themeColor="text1"/>
          <w:lang w:eastAsia="sl-SI"/>
        </w:rPr>
      </w:pPr>
      <w:r>
        <w:rPr>
          <w:rFonts w:cs="Arial"/>
          <w:color w:val="000000" w:themeColor="text1"/>
          <w:lang w:eastAsia="sl-SI"/>
        </w:rPr>
        <w:t xml:space="preserve">                                              </w:t>
      </w:r>
      <w:r w:rsidR="0032106E">
        <w:rPr>
          <w:rFonts w:cs="Arial"/>
          <w:color w:val="000000" w:themeColor="text1"/>
          <w:lang w:eastAsia="sl-SI"/>
        </w:rPr>
        <w:tab/>
      </w:r>
    </w:p>
    <w:sectPr w:rsidR="0095251E" w:rsidSect="00A67DA7">
      <w:headerReference w:type="default" r:id="rId8"/>
      <w:footerReference w:type="default" r:id="rId9"/>
      <w:footnotePr>
        <w:pos w:val="beneathText"/>
      </w:footnotePr>
      <w:pgSz w:w="11907" w:h="16840" w:code="9"/>
      <w:pgMar w:top="1094" w:right="567" w:bottom="567" w:left="1140" w:header="561" w:footer="6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CBC" w:rsidRDefault="000C4CBC">
      <w:r>
        <w:separator/>
      </w:r>
    </w:p>
  </w:endnote>
  <w:endnote w:type="continuationSeparator" w:id="0">
    <w:p w:rsidR="000C4CBC" w:rsidRDefault="000C4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268235"/>
      <w:docPartObj>
        <w:docPartGallery w:val="Page Numbers (Bottom of Page)"/>
        <w:docPartUnique/>
      </w:docPartObj>
    </w:sdtPr>
    <w:sdtContent>
      <w:p w:rsidR="00197551" w:rsidRDefault="00F67117">
        <w:pPr>
          <w:pStyle w:val="Footer"/>
          <w:jc w:val="right"/>
        </w:pPr>
        <w:fldSimple w:instr=" PAGE   \* MERGEFORMAT ">
          <w:r w:rsidR="00AD6596">
            <w:rPr>
              <w:noProof/>
            </w:rPr>
            <w:t>1</w:t>
          </w:r>
        </w:fldSimple>
      </w:p>
    </w:sdtContent>
  </w:sdt>
  <w:p w:rsidR="00197551" w:rsidRDefault="00197551" w:rsidP="00AE48B4">
    <w:pPr>
      <w:pStyle w:val="Footer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CBC" w:rsidRDefault="000C4CBC">
      <w:r>
        <w:separator/>
      </w:r>
    </w:p>
  </w:footnote>
  <w:footnote w:type="continuationSeparator" w:id="0">
    <w:p w:rsidR="000C4CBC" w:rsidRDefault="000C4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17365D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5"/>
      <w:gridCol w:w="5533"/>
      <w:gridCol w:w="2578"/>
    </w:tblGrid>
    <w:tr w:rsidR="00197551" w:rsidTr="00100EAD">
      <w:tc>
        <w:tcPr>
          <w:tcW w:w="2235" w:type="dxa"/>
        </w:tcPr>
        <w:p w:rsidR="00197551" w:rsidRDefault="00197551" w:rsidP="00E843F7">
          <w:pPr>
            <w:pStyle w:val="BodyText"/>
          </w:pPr>
          <w:r>
            <w:rPr>
              <w:noProof/>
              <w:lang w:bidi="ar-SA"/>
            </w:rPr>
            <w:drawing>
              <wp:inline distT="0" distB="0" distL="0" distR="0">
                <wp:extent cx="1326515" cy="4572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51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</w:tcPr>
        <w:p w:rsidR="00197551" w:rsidRPr="00B21E71" w:rsidRDefault="00197551" w:rsidP="00B21E71">
          <w:pPr>
            <w:pStyle w:val="Header"/>
            <w:ind w:left="0"/>
            <w:jc w:val="center"/>
            <w:rPr>
              <w:rFonts w:ascii="Book Antiqua" w:hAnsi="Book Antiqua"/>
              <w:bCs/>
              <w:sz w:val="20"/>
              <w:szCs w:val="20"/>
            </w:rPr>
          </w:pPr>
          <w:r w:rsidRPr="00B21E71">
            <w:rPr>
              <w:rStyle w:val="SelPlus"/>
              <w:rFonts w:ascii="Book Antiqua" w:hAnsi="Book Antiqua"/>
              <w:b w:val="0"/>
              <w:sz w:val="20"/>
              <w:szCs w:val="20"/>
            </w:rPr>
            <w:t xml:space="preserve">Strengthening Capacities for Higher Education of Pain Medicine  in Western Balkan countries – </w:t>
          </w:r>
          <w:r w:rsidRPr="00B21E71">
            <w:rPr>
              <w:rFonts w:ascii="Book Antiqua" w:hAnsi="Book Antiqua"/>
              <w:bCs/>
              <w:sz w:val="20"/>
              <w:szCs w:val="20"/>
            </w:rPr>
            <w:t>HEPMP</w:t>
          </w:r>
        </w:p>
      </w:tc>
      <w:tc>
        <w:tcPr>
          <w:tcW w:w="2586" w:type="dxa"/>
        </w:tcPr>
        <w:p w:rsidR="00197551" w:rsidRDefault="00197551" w:rsidP="00E843F7">
          <w:pPr>
            <w:pStyle w:val="BodyText"/>
          </w:pPr>
          <w:r w:rsidRPr="00941AC8">
            <w:rPr>
              <w:noProof/>
              <w:lang w:bidi="ar-SA"/>
            </w:rPr>
            <w:drawing>
              <wp:inline distT="0" distB="0" distL="0" distR="0">
                <wp:extent cx="1433655" cy="409575"/>
                <wp:effectExtent l="19050" t="0" r="0" b="0"/>
                <wp:docPr id="2" name="Picture 2" descr="eu_flag_co_funded_pos_[rgb]_righ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flag_co_funded_pos_[rgb]_right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624" cy="410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97551" w:rsidRDefault="00197551" w:rsidP="00E843F7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AB5D42"/>
    <w:multiLevelType w:val="hybridMultilevel"/>
    <w:tmpl w:val="308E3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47D66"/>
    <w:multiLevelType w:val="hybridMultilevel"/>
    <w:tmpl w:val="883ABC14"/>
    <w:lvl w:ilvl="0" w:tplc="E084C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503EE"/>
    <w:multiLevelType w:val="hybridMultilevel"/>
    <w:tmpl w:val="EF588ABA"/>
    <w:lvl w:ilvl="0" w:tplc="040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813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__Grammarly_42____i" w:val="H4sIAAAAAAAEAKtWckksSQxILCpxzi/NK1GyMqwFAAEhoTITAAAA"/>
    <w:docVar w:name="__Grammarly_42___1" w:val="H4sIAAAAAAAEAKtWcslP9kxRslIyNDYyN7Q0MTE2MTM3MLI0MjFV0lEKTi0uzszPAykwqQUAvIsKUCwAAAA="/>
  </w:docVars>
  <w:rsids>
    <w:rsidRoot w:val="00303791"/>
    <w:rsid w:val="00005D08"/>
    <w:rsid w:val="0002335F"/>
    <w:rsid w:val="000237B0"/>
    <w:rsid w:val="000341D6"/>
    <w:rsid w:val="0004689E"/>
    <w:rsid w:val="00047D38"/>
    <w:rsid w:val="00051812"/>
    <w:rsid w:val="00051F8B"/>
    <w:rsid w:val="00053A35"/>
    <w:rsid w:val="000673B0"/>
    <w:rsid w:val="00076529"/>
    <w:rsid w:val="000831F3"/>
    <w:rsid w:val="0008343D"/>
    <w:rsid w:val="00083CE1"/>
    <w:rsid w:val="00090499"/>
    <w:rsid w:val="0009219B"/>
    <w:rsid w:val="00093F24"/>
    <w:rsid w:val="00096DBF"/>
    <w:rsid w:val="000C4CBC"/>
    <w:rsid w:val="000E0157"/>
    <w:rsid w:val="000E340C"/>
    <w:rsid w:val="000E5C4B"/>
    <w:rsid w:val="00100EAD"/>
    <w:rsid w:val="00104EFE"/>
    <w:rsid w:val="00116BB0"/>
    <w:rsid w:val="00127D6B"/>
    <w:rsid w:val="00132BB4"/>
    <w:rsid w:val="001362D2"/>
    <w:rsid w:val="00143543"/>
    <w:rsid w:val="00151396"/>
    <w:rsid w:val="001516D3"/>
    <w:rsid w:val="00163BAF"/>
    <w:rsid w:val="0016785C"/>
    <w:rsid w:val="00174850"/>
    <w:rsid w:val="001779FE"/>
    <w:rsid w:val="00181D91"/>
    <w:rsid w:val="00190C9A"/>
    <w:rsid w:val="00195F5D"/>
    <w:rsid w:val="00197551"/>
    <w:rsid w:val="001A21A4"/>
    <w:rsid w:val="001B5FBB"/>
    <w:rsid w:val="001D05D0"/>
    <w:rsid w:val="001E6E78"/>
    <w:rsid w:val="001E74C7"/>
    <w:rsid w:val="001E78A7"/>
    <w:rsid w:val="001F511D"/>
    <w:rsid w:val="001F71CF"/>
    <w:rsid w:val="00210644"/>
    <w:rsid w:val="00211200"/>
    <w:rsid w:val="00220B1F"/>
    <w:rsid w:val="00222BC5"/>
    <w:rsid w:val="00225FFE"/>
    <w:rsid w:val="0023500F"/>
    <w:rsid w:val="00237E72"/>
    <w:rsid w:val="00242A86"/>
    <w:rsid w:val="00250AA1"/>
    <w:rsid w:val="00257CA9"/>
    <w:rsid w:val="002630F5"/>
    <w:rsid w:val="00263DF6"/>
    <w:rsid w:val="00264C4B"/>
    <w:rsid w:val="00272F45"/>
    <w:rsid w:val="002776CA"/>
    <w:rsid w:val="00280241"/>
    <w:rsid w:val="00286448"/>
    <w:rsid w:val="002911BD"/>
    <w:rsid w:val="002A3547"/>
    <w:rsid w:val="002A735A"/>
    <w:rsid w:val="002B2300"/>
    <w:rsid w:val="002B3371"/>
    <w:rsid w:val="002D6F46"/>
    <w:rsid w:val="002E2243"/>
    <w:rsid w:val="002E617A"/>
    <w:rsid w:val="002E6E1A"/>
    <w:rsid w:val="002F3FAB"/>
    <w:rsid w:val="003013A8"/>
    <w:rsid w:val="00303791"/>
    <w:rsid w:val="00313E84"/>
    <w:rsid w:val="00314DA0"/>
    <w:rsid w:val="00315A81"/>
    <w:rsid w:val="0032106E"/>
    <w:rsid w:val="00332B0E"/>
    <w:rsid w:val="003477B1"/>
    <w:rsid w:val="00361C90"/>
    <w:rsid w:val="00381648"/>
    <w:rsid w:val="00395127"/>
    <w:rsid w:val="003A6AF9"/>
    <w:rsid w:val="003B7A73"/>
    <w:rsid w:val="003C5121"/>
    <w:rsid w:val="003C7D49"/>
    <w:rsid w:val="003D05DA"/>
    <w:rsid w:val="003D77A3"/>
    <w:rsid w:val="003E6225"/>
    <w:rsid w:val="003E7267"/>
    <w:rsid w:val="003F46EE"/>
    <w:rsid w:val="0040053D"/>
    <w:rsid w:val="00406782"/>
    <w:rsid w:val="004101DD"/>
    <w:rsid w:val="004163F3"/>
    <w:rsid w:val="00417EA4"/>
    <w:rsid w:val="00422DD5"/>
    <w:rsid w:val="00423D84"/>
    <w:rsid w:val="00441C70"/>
    <w:rsid w:val="0044305D"/>
    <w:rsid w:val="004456A8"/>
    <w:rsid w:val="00445760"/>
    <w:rsid w:val="00446495"/>
    <w:rsid w:val="00446CB5"/>
    <w:rsid w:val="004800A2"/>
    <w:rsid w:val="0048017D"/>
    <w:rsid w:val="00483FBD"/>
    <w:rsid w:val="00485AE7"/>
    <w:rsid w:val="004866CC"/>
    <w:rsid w:val="004A0B3C"/>
    <w:rsid w:val="004B0B45"/>
    <w:rsid w:val="004C7EF3"/>
    <w:rsid w:val="004D1BB2"/>
    <w:rsid w:val="004D43B5"/>
    <w:rsid w:val="004D78AF"/>
    <w:rsid w:val="004E1DF7"/>
    <w:rsid w:val="004E4166"/>
    <w:rsid w:val="0050206A"/>
    <w:rsid w:val="00530874"/>
    <w:rsid w:val="00553838"/>
    <w:rsid w:val="005604D1"/>
    <w:rsid w:val="0057202D"/>
    <w:rsid w:val="005747BC"/>
    <w:rsid w:val="005753D1"/>
    <w:rsid w:val="005760AF"/>
    <w:rsid w:val="00583168"/>
    <w:rsid w:val="00586A93"/>
    <w:rsid w:val="00591C38"/>
    <w:rsid w:val="00596316"/>
    <w:rsid w:val="005A3B95"/>
    <w:rsid w:val="005B1DD3"/>
    <w:rsid w:val="005D0814"/>
    <w:rsid w:val="005E07B0"/>
    <w:rsid w:val="005E3BBC"/>
    <w:rsid w:val="005E60BF"/>
    <w:rsid w:val="005E7077"/>
    <w:rsid w:val="005F1950"/>
    <w:rsid w:val="005F6CCB"/>
    <w:rsid w:val="0060503B"/>
    <w:rsid w:val="00611687"/>
    <w:rsid w:val="00626E41"/>
    <w:rsid w:val="00632335"/>
    <w:rsid w:val="006324AA"/>
    <w:rsid w:val="0063635E"/>
    <w:rsid w:val="00642414"/>
    <w:rsid w:val="006436E9"/>
    <w:rsid w:val="006504D6"/>
    <w:rsid w:val="0066667E"/>
    <w:rsid w:val="00681266"/>
    <w:rsid w:val="00682226"/>
    <w:rsid w:val="0069015C"/>
    <w:rsid w:val="00690B5D"/>
    <w:rsid w:val="006B0C99"/>
    <w:rsid w:val="006B569C"/>
    <w:rsid w:val="006C1CFB"/>
    <w:rsid w:val="006C646D"/>
    <w:rsid w:val="006C64A2"/>
    <w:rsid w:val="006D5654"/>
    <w:rsid w:val="006D6343"/>
    <w:rsid w:val="006F215D"/>
    <w:rsid w:val="006F3E14"/>
    <w:rsid w:val="00702F9E"/>
    <w:rsid w:val="00714B57"/>
    <w:rsid w:val="00716DDC"/>
    <w:rsid w:val="00717988"/>
    <w:rsid w:val="00731936"/>
    <w:rsid w:val="00741B85"/>
    <w:rsid w:val="00745013"/>
    <w:rsid w:val="0074526F"/>
    <w:rsid w:val="00751E0D"/>
    <w:rsid w:val="0077162A"/>
    <w:rsid w:val="00771721"/>
    <w:rsid w:val="00775F67"/>
    <w:rsid w:val="007813B6"/>
    <w:rsid w:val="00782EC0"/>
    <w:rsid w:val="00787D87"/>
    <w:rsid w:val="00791D5E"/>
    <w:rsid w:val="007A049E"/>
    <w:rsid w:val="007A4E68"/>
    <w:rsid w:val="007A554D"/>
    <w:rsid w:val="007A5865"/>
    <w:rsid w:val="007B1819"/>
    <w:rsid w:val="007B3AD7"/>
    <w:rsid w:val="007C19BA"/>
    <w:rsid w:val="007C616C"/>
    <w:rsid w:val="007D6990"/>
    <w:rsid w:val="007E2594"/>
    <w:rsid w:val="007E260B"/>
    <w:rsid w:val="007F27AF"/>
    <w:rsid w:val="007F2C62"/>
    <w:rsid w:val="00801EAD"/>
    <w:rsid w:val="008141F4"/>
    <w:rsid w:val="008144A1"/>
    <w:rsid w:val="00814AEE"/>
    <w:rsid w:val="0082097A"/>
    <w:rsid w:val="00847945"/>
    <w:rsid w:val="008549D9"/>
    <w:rsid w:val="00864113"/>
    <w:rsid w:val="008753F6"/>
    <w:rsid w:val="00875B53"/>
    <w:rsid w:val="00877CC5"/>
    <w:rsid w:val="008830E6"/>
    <w:rsid w:val="00894C80"/>
    <w:rsid w:val="00896495"/>
    <w:rsid w:val="008B0542"/>
    <w:rsid w:val="008E09BA"/>
    <w:rsid w:val="008E5B11"/>
    <w:rsid w:val="008E613E"/>
    <w:rsid w:val="00901145"/>
    <w:rsid w:val="009067C4"/>
    <w:rsid w:val="00907BC5"/>
    <w:rsid w:val="0091283D"/>
    <w:rsid w:val="009141B4"/>
    <w:rsid w:val="00915250"/>
    <w:rsid w:val="00916B9A"/>
    <w:rsid w:val="00921652"/>
    <w:rsid w:val="00931683"/>
    <w:rsid w:val="00935D95"/>
    <w:rsid w:val="00942944"/>
    <w:rsid w:val="00943DD4"/>
    <w:rsid w:val="00944AA3"/>
    <w:rsid w:val="0095251E"/>
    <w:rsid w:val="0095474F"/>
    <w:rsid w:val="00955027"/>
    <w:rsid w:val="00971102"/>
    <w:rsid w:val="009812FC"/>
    <w:rsid w:val="0098202A"/>
    <w:rsid w:val="00983962"/>
    <w:rsid w:val="009841CB"/>
    <w:rsid w:val="00993D7F"/>
    <w:rsid w:val="009A0E18"/>
    <w:rsid w:val="009A500C"/>
    <w:rsid w:val="009D4FD3"/>
    <w:rsid w:val="009E11D3"/>
    <w:rsid w:val="009E4F0D"/>
    <w:rsid w:val="009E6559"/>
    <w:rsid w:val="009F522A"/>
    <w:rsid w:val="00A0458A"/>
    <w:rsid w:val="00A15FD7"/>
    <w:rsid w:val="00A164AF"/>
    <w:rsid w:val="00A21128"/>
    <w:rsid w:val="00A229CE"/>
    <w:rsid w:val="00A35B4F"/>
    <w:rsid w:val="00A46A71"/>
    <w:rsid w:val="00A6712D"/>
    <w:rsid w:val="00A67DA7"/>
    <w:rsid w:val="00A70E8D"/>
    <w:rsid w:val="00A77E8D"/>
    <w:rsid w:val="00A80716"/>
    <w:rsid w:val="00AB6F49"/>
    <w:rsid w:val="00AD2967"/>
    <w:rsid w:val="00AD6596"/>
    <w:rsid w:val="00AD7515"/>
    <w:rsid w:val="00AE140B"/>
    <w:rsid w:val="00AE48B4"/>
    <w:rsid w:val="00AE60AC"/>
    <w:rsid w:val="00AF43A7"/>
    <w:rsid w:val="00AF6032"/>
    <w:rsid w:val="00AF75BE"/>
    <w:rsid w:val="00B02282"/>
    <w:rsid w:val="00B13005"/>
    <w:rsid w:val="00B17EFA"/>
    <w:rsid w:val="00B21E71"/>
    <w:rsid w:val="00B27A29"/>
    <w:rsid w:val="00B4758A"/>
    <w:rsid w:val="00B527CA"/>
    <w:rsid w:val="00B56992"/>
    <w:rsid w:val="00B56CC8"/>
    <w:rsid w:val="00B577F0"/>
    <w:rsid w:val="00B76690"/>
    <w:rsid w:val="00B841EC"/>
    <w:rsid w:val="00BA57C0"/>
    <w:rsid w:val="00BA6BE0"/>
    <w:rsid w:val="00BD07DB"/>
    <w:rsid w:val="00BE2677"/>
    <w:rsid w:val="00BE33CF"/>
    <w:rsid w:val="00BF07F4"/>
    <w:rsid w:val="00BF0C99"/>
    <w:rsid w:val="00C16570"/>
    <w:rsid w:val="00C27C63"/>
    <w:rsid w:val="00C3074C"/>
    <w:rsid w:val="00C32546"/>
    <w:rsid w:val="00C409ED"/>
    <w:rsid w:val="00C40FA6"/>
    <w:rsid w:val="00C62DF5"/>
    <w:rsid w:val="00C65364"/>
    <w:rsid w:val="00C743AE"/>
    <w:rsid w:val="00C82FFE"/>
    <w:rsid w:val="00C911B8"/>
    <w:rsid w:val="00C94F48"/>
    <w:rsid w:val="00C96D8D"/>
    <w:rsid w:val="00C9780D"/>
    <w:rsid w:val="00CA37CD"/>
    <w:rsid w:val="00CB0ECE"/>
    <w:rsid w:val="00CB1BFC"/>
    <w:rsid w:val="00CC3FF7"/>
    <w:rsid w:val="00CC494E"/>
    <w:rsid w:val="00CD0E67"/>
    <w:rsid w:val="00CF052F"/>
    <w:rsid w:val="00D003E4"/>
    <w:rsid w:val="00D034B5"/>
    <w:rsid w:val="00D06BB8"/>
    <w:rsid w:val="00D06C06"/>
    <w:rsid w:val="00D27313"/>
    <w:rsid w:val="00D31A73"/>
    <w:rsid w:val="00D41393"/>
    <w:rsid w:val="00D445ED"/>
    <w:rsid w:val="00D5054D"/>
    <w:rsid w:val="00D51A3E"/>
    <w:rsid w:val="00D54C0C"/>
    <w:rsid w:val="00D61D25"/>
    <w:rsid w:val="00D85891"/>
    <w:rsid w:val="00D96077"/>
    <w:rsid w:val="00DD6755"/>
    <w:rsid w:val="00DF0965"/>
    <w:rsid w:val="00E018F8"/>
    <w:rsid w:val="00E12A3F"/>
    <w:rsid w:val="00E13121"/>
    <w:rsid w:val="00E33572"/>
    <w:rsid w:val="00E37B6C"/>
    <w:rsid w:val="00E43951"/>
    <w:rsid w:val="00E57AEA"/>
    <w:rsid w:val="00E6240D"/>
    <w:rsid w:val="00E62A1D"/>
    <w:rsid w:val="00E6578E"/>
    <w:rsid w:val="00E666CF"/>
    <w:rsid w:val="00E709C8"/>
    <w:rsid w:val="00E72587"/>
    <w:rsid w:val="00E8190B"/>
    <w:rsid w:val="00E82BA2"/>
    <w:rsid w:val="00E843F7"/>
    <w:rsid w:val="00EA6356"/>
    <w:rsid w:val="00EB6722"/>
    <w:rsid w:val="00EC0E26"/>
    <w:rsid w:val="00EC22B3"/>
    <w:rsid w:val="00EC42B9"/>
    <w:rsid w:val="00EC6240"/>
    <w:rsid w:val="00EC69DF"/>
    <w:rsid w:val="00EE2F75"/>
    <w:rsid w:val="00F115F5"/>
    <w:rsid w:val="00F11AFD"/>
    <w:rsid w:val="00F11C92"/>
    <w:rsid w:val="00F12C7C"/>
    <w:rsid w:val="00F25283"/>
    <w:rsid w:val="00F27049"/>
    <w:rsid w:val="00F34216"/>
    <w:rsid w:val="00F34547"/>
    <w:rsid w:val="00F422DD"/>
    <w:rsid w:val="00F56E15"/>
    <w:rsid w:val="00F6314C"/>
    <w:rsid w:val="00F65441"/>
    <w:rsid w:val="00F66384"/>
    <w:rsid w:val="00F67117"/>
    <w:rsid w:val="00F922AF"/>
    <w:rsid w:val="00F95DB1"/>
    <w:rsid w:val="00FA3218"/>
    <w:rsid w:val="00FA5B89"/>
    <w:rsid w:val="00FA6392"/>
    <w:rsid w:val="00FC34EF"/>
    <w:rsid w:val="00FC6845"/>
    <w:rsid w:val="00FC6962"/>
    <w:rsid w:val="00FD2DF0"/>
    <w:rsid w:val="00FE15D6"/>
    <w:rsid w:val="00FF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86"/>
    <w:rPr>
      <w:rFonts w:ascii="Book Antiqua" w:eastAsiaTheme="minorHAnsi" w:hAnsi="Book Antiqua" w:cstheme="minorBidi"/>
      <w:sz w:val="24"/>
      <w:szCs w:val="22"/>
      <w:lang w:val="bs-Latn-BA" w:bidi="ar-SA"/>
    </w:rPr>
  </w:style>
  <w:style w:type="paragraph" w:styleId="Heading1">
    <w:name w:val="heading 1"/>
    <w:basedOn w:val="Heading"/>
    <w:next w:val="BodyText"/>
    <w:qFormat/>
    <w:rsid w:val="002630F5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41F4"/>
    <w:pPr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2630F5"/>
  </w:style>
  <w:style w:type="character" w:customStyle="1" w:styleId="FootnoteCharacters">
    <w:name w:val="Footnote Characters"/>
    <w:rsid w:val="002630F5"/>
  </w:style>
  <w:style w:type="character" w:styleId="Hyperlink">
    <w:name w:val="Hyperlink"/>
    <w:semiHidden/>
    <w:rsid w:val="002630F5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2630F5"/>
    <w:pPr>
      <w:keepNext/>
      <w:widowControl w:val="0"/>
      <w:suppressAutoHyphens/>
      <w:spacing w:before="240" w:after="283"/>
      <w:ind w:left="86" w:right="86"/>
    </w:pPr>
    <w:rPr>
      <w:rFonts w:ascii="Albany" w:eastAsia="HG Mincho Light J" w:hAnsi="Albany" w:cs="Arial Unicode MS"/>
      <w:sz w:val="28"/>
      <w:szCs w:val="28"/>
      <w:lang w:val="en-US" w:bidi="he-IL"/>
    </w:rPr>
  </w:style>
  <w:style w:type="paragraph" w:styleId="BodyText">
    <w:name w:val="Body Text"/>
    <w:basedOn w:val="Normal"/>
    <w:semiHidden/>
    <w:rsid w:val="002630F5"/>
    <w:pPr>
      <w:widowControl w:val="0"/>
      <w:suppressAutoHyphens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List">
    <w:name w:val="List"/>
    <w:basedOn w:val="BodyText"/>
    <w:semiHidden/>
    <w:rsid w:val="002630F5"/>
  </w:style>
  <w:style w:type="paragraph" w:styleId="Caption">
    <w:name w:val="caption"/>
    <w:basedOn w:val="Normal"/>
    <w:qFormat/>
    <w:rsid w:val="002630F5"/>
    <w:pPr>
      <w:widowControl w:val="0"/>
      <w:suppressLineNumbers/>
      <w:suppressAutoHyphens/>
      <w:spacing w:before="120" w:after="120"/>
      <w:ind w:left="86" w:right="86"/>
    </w:pPr>
    <w:rPr>
      <w:rFonts w:ascii="Times New Roman" w:eastAsia="Times New Roman" w:hAnsi="Times New Roman" w:cs="Times New Roman"/>
      <w:i/>
      <w:iCs/>
      <w:szCs w:val="24"/>
      <w:lang w:val="en-US" w:bidi="he-IL"/>
    </w:rPr>
  </w:style>
  <w:style w:type="paragraph" w:customStyle="1" w:styleId="Index">
    <w:name w:val="Index"/>
    <w:basedOn w:val="Normal"/>
    <w:rsid w:val="002630F5"/>
    <w:pPr>
      <w:widowControl w:val="0"/>
      <w:suppressLineNumbers/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HorizontalLine">
    <w:name w:val="Horizontal Line"/>
    <w:basedOn w:val="Normal"/>
    <w:next w:val="BodyText"/>
    <w:rsid w:val="002630F5"/>
    <w:pPr>
      <w:widowControl w:val="0"/>
      <w:pBdr>
        <w:bottom w:val="double" w:sz="1" w:space="0" w:color="808080"/>
      </w:pBdr>
      <w:suppressAutoHyphens/>
      <w:spacing w:after="283"/>
      <w:ind w:left="86" w:right="86"/>
    </w:pPr>
    <w:rPr>
      <w:rFonts w:ascii="Times New Roman" w:eastAsia="Times New Roman" w:hAnsi="Times New Roman" w:cs="Times New Roman"/>
      <w:sz w:val="12"/>
      <w:szCs w:val="24"/>
      <w:lang w:val="en-US" w:bidi="he-IL"/>
    </w:rPr>
  </w:style>
  <w:style w:type="paragraph" w:styleId="EnvelopeReturn">
    <w:name w:val="envelope return"/>
    <w:basedOn w:val="Normal"/>
    <w:semiHidden/>
    <w:rsid w:val="002630F5"/>
    <w:pPr>
      <w:widowControl w:val="0"/>
      <w:suppressAutoHyphens/>
      <w:ind w:left="86" w:right="86"/>
    </w:pPr>
    <w:rPr>
      <w:rFonts w:ascii="Times New Roman" w:eastAsia="Times New Roman" w:hAnsi="Times New Roman" w:cs="Times New Roman"/>
      <w:i/>
      <w:szCs w:val="24"/>
      <w:lang w:val="en-US" w:bidi="he-IL"/>
    </w:rPr>
  </w:style>
  <w:style w:type="paragraph" w:customStyle="1" w:styleId="TableContents">
    <w:name w:val="Table Contents"/>
    <w:basedOn w:val="BodyText"/>
    <w:rsid w:val="002630F5"/>
  </w:style>
  <w:style w:type="paragraph" w:styleId="Footer">
    <w:name w:val="footer"/>
    <w:basedOn w:val="Normal"/>
    <w:link w:val="Foot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Header">
    <w:name w:val="header"/>
    <w:basedOn w:val="Normal"/>
    <w:link w:val="Head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TableHeading">
    <w:name w:val="Table Heading"/>
    <w:basedOn w:val="TableContents"/>
    <w:rsid w:val="002630F5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BC5"/>
    <w:pPr>
      <w:widowControl w:val="0"/>
      <w:suppressAutoHyphens/>
      <w:ind w:left="86" w:right="86"/>
    </w:pPr>
    <w:rPr>
      <w:rFonts w:ascii="Tahoma" w:eastAsia="Times New Roman" w:hAnsi="Tahoma" w:cs="Tahoma"/>
      <w:sz w:val="16"/>
      <w:szCs w:val="16"/>
      <w:lang w:val="en-US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66384"/>
    <w:pPr>
      <w:widowControl w:val="0"/>
      <w:suppressAutoHyphens/>
      <w:spacing w:before="86" w:after="86"/>
      <w:ind w:left="720" w:right="86"/>
      <w:contextualSpacing/>
    </w:pPr>
    <w:rPr>
      <w:rFonts w:ascii="Times New Roman" w:eastAsia="Times New Roman" w:hAnsi="Times New Roman" w:cs="Times New Roman"/>
      <w:szCs w:val="24"/>
      <w:lang w:val="en-US" w:bidi="he-IL"/>
    </w:rPr>
  </w:style>
  <w:style w:type="table" w:styleId="TableGrid">
    <w:name w:val="Table Grid"/>
    <w:basedOn w:val="TableNormal"/>
    <w:uiPriority w:val="59"/>
    <w:rsid w:val="006901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100EAD"/>
    <w:rPr>
      <w:sz w:val="24"/>
      <w:szCs w:val="24"/>
    </w:rPr>
  </w:style>
  <w:style w:type="character" w:styleId="FootnoteReference">
    <w:name w:val="footnote reference"/>
    <w:uiPriority w:val="99"/>
    <w:semiHidden/>
    <w:unhideWhenUsed/>
    <w:rsid w:val="008141F4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8141F4"/>
    <w:rPr>
      <w:rFonts w:ascii="Calibri" w:hAnsi="Calibri"/>
      <w:b/>
      <w:bCs/>
      <w:i/>
      <w:iCs/>
      <w:sz w:val="26"/>
      <w:szCs w:val="26"/>
      <w:lang w:bidi="ar-SA"/>
    </w:rPr>
  </w:style>
  <w:style w:type="paragraph" w:customStyle="1" w:styleId="Default">
    <w:name w:val="Default"/>
    <w:rsid w:val="008141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l-SI" w:eastAsia="sl-SI" w:bidi="ar-SA"/>
    </w:rPr>
  </w:style>
  <w:style w:type="character" w:customStyle="1" w:styleId="SelPlus">
    <w:name w:val="SelPlus"/>
    <w:uiPriority w:val="1"/>
    <w:qFormat/>
    <w:rsid w:val="000673B0"/>
    <w:rPr>
      <w:rFonts w:ascii="Calibri" w:hAnsi="Calibri"/>
      <w:b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0673B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1E7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s-Latn-B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86"/>
    <w:rPr>
      <w:rFonts w:ascii="Book Antiqua" w:eastAsiaTheme="minorHAnsi" w:hAnsi="Book Antiqua" w:cstheme="minorBidi"/>
      <w:sz w:val="24"/>
      <w:szCs w:val="22"/>
      <w:lang w:val="bs-Latn-BA" w:bidi="ar-SA"/>
    </w:rPr>
  </w:style>
  <w:style w:type="paragraph" w:styleId="Heading1">
    <w:name w:val="heading 1"/>
    <w:basedOn w:val="Heading"/>
    <w:next w:val="BodyText"/>
    <w:qFormat/>
    <w:rsid w:val="002630F5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41F4"/>
    <w:pPr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2630F5"/>
  </w:style>
  <w:style w:type="character" w:customStyle="1" w:styleId="FootnoteCharacters">
    <w:name w:val="Footnote Characters"/>
    <w:rsid w:val="002630F5"/>
  </w:style>
  <w:style w:type="character" w:styleId="Hyperlink">
    <w:name w:val="Hyperlink"/>
    <w:semiHidden/>
    <w:rsid w:val="002630F5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2630F5"/>
    <w:pPr>
      <w:keepNext/>
      <w:widowControl w:val="0"/>
      <w:suppressAutoHyphens/>
      <w:spacing w:before="240" w:after="283"/>
      <w:ind w:left="86" w:right="86"/>
    </w:pPr>
    <w:rPr>
      <w:rFonts w:ascii="Albany" w:eastAsia="HG Mincho Light J" w:hAnsi="Albany" w:cs="Arial Unicode MS"/>
      <w:sz w:val="28"/>
      <w:szCs w:val="28"/>
      <w:lang w:val="en-US" w:bidi="he-IL"/>
    </w:rPr>
  </w:style>
  <w:style w:type="paragraph" w:styleId="BodyText">
    <w:name w:val="Body Text"/>
    <w:basedOn w:val="Normal"/>
    <w:semiHidden/>
    <w:rsid w:val="002630F5"/>
    <w:pPr>
      <w:widowControl w:val="0"/>
      <w:suppressAutoHyphens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List">
    <w:name w:val="List"/>
    <w:basedOn w:val="BodyText"/>
    <w:semiHidden/>
    <w:rsid w:val="002630F5"/>
  </w:style>
  <w:style w:type="paragraph" w:styleId="Caption">
    <w:name w:val="caption"/>
    <w:basedOn w:val="Normal"/>
    <w:qFormat/>
    <w:rsid w:val="002630F5"/>
    <w:pPr>
      <w:widowControl w:val="0"/>
      <w:suppressLineNumbers/>
      <w:suppressAutoHyphens/>
      <w:spacing w:before="120" w:after="120"/>
      <w:ind w:left="86" w:right="86"/>
    </w:pPr>
    <w:rPr>
      <w:rFonts w:ascii="Times New Roman" w:eastAsia="Times New Roman" w:hAnsi="Times New Roman" w:cs="Times New Roman"/>
      <w:i/>
      <w:iCs/>
      <w:szCs w:val="24"/>
      <w:lang w:val="en-US" w:bidi="he-IL"/>
    </w:rPr>
  </w:style>
  <w:style w:type="paragraph" w:customStyle="1" w:styleId="Index">
    <w:name w:val="Index"/>
    <w:basedOn w:val="Normal"/>
    <w:rsid w:val="002630F5"/>
    <w:pPr>
      <w:widowControl w:val="0"/>
      <w:suppressLineNumbers/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HorizontalLine">
    <w:name w:val="Horizontal Line"/>
    <w:basedOn w:val="Normal"/>
    <w:next w:val="BodyText"/>
    <w:rsid w:val="002630F5"/>
    <w:pPr>
      <w:widowControl w:val="0"/>
      <w:pBdr>
        <w:bottom w:val="double" w:sz="1" w:space="0" w:color="808080"/>
      </w:pBdr>
      <w:suppressAutoHyphens/>
      <w:spacing w:after="283"/>
      <w:ind w:left="86" w:right="86"/>
    </w:pPr>
    <w:rPr>
      <w:rFonts w:ascii="Times New Roman" w:eastAsia="Times New Roman" w:hAnsi="Times New Roman" w:cs="Times New Roman"/>
      <w:sz w:val="12"/>
      <w:szCs w:val="24"/>
      <w:lang w:val="en-US" w:bidi="he-IL"/>
    </w:rPr>
  </w:style>
  <w:style w:type="paragraph" w:styleId="EnvelopeReturn">
    <w:name w:val="envelope return"/>
    <w:basedOn w:val="Normal"/>
    <w:semiHidden/>
    <w:rsid w:val="002630F5"/>
    <w:pPr>
      <w:widowControl w:val="0"/>
      <w:suppressAutoHyphens/>
      <w:ind w:left="86" w:right="86"/>
    </w:pPr>
    <w:rPr>
      <w:rFonts w:ascii="Times New Roman" w:eastAsia="Times New Roman" w:hAnsi="Times New Roman" w:cs="Times New Roman"/>
      <w:i/>
      <w:szCs w:val="24"/>
      <w:lang w:val="en-US" w:bidi="he-IL"/>
    </w:rPr>
  </w:style>
  <w:style w:type="paragraph" w:customStyle="1" w:styleId="TableContents">
    <w:name w:val="Table Contents"/>
    <w:basedOn w:val="BodyText"/>
    <w:rsid w:val="002630F5"/>
  </w:style>
  <w:style w:type="paragraph" w:styleId="Footer">
    <w:name w:val="footer"/>
    <w:basedOn w:val="Normal"/>
    <w:link w:val="Foot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styleId="Header">
    <w:name w:val="header"/>
    <w:basedOn w:val="Normal"/>
    <w:link w:val="HeaderChar"/>
    <w:uiPriority w:val="99"/>
    <w:rsid w:val="002630F5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Times New Roman" w:eastAsia="Times New Roman" w:hAnsi="Times New Roman" w:cs="Times New Roman"/>
      <w:szCs w:val="24"/>
      <w:lang w:val="en-US" w:bidi="he-IL"/>
    </w:rPr>
  </w:style>
  <w:style w:type="paragraph" w:customStyle="1" w:styleId="TableHeading">
    <w:name w:val="Table Heading"/>
    <w:basedOn w:val="TableContents"/>
    <w:rsid w:val="002630F5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BC5"/>
    <w:pPr>
      <w:widowControl w:val="0"/>
      <w:suppressAutoHyphens/>
      <w:ind w:left="86" w:right="86"/>
    </w:pPr>
    <w:rPr>
      <w:rFonts w:ascii="Tahoma" w:eastAsia="Times New Roman" w:hAnsi="Tahoma" w:cs="Tahoma"/>
      <w:sz w:val="16"/>
      <w:szCs w:val="16"/>
      <w:lang w:val="en-US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66384"/>
    <w:pPr>
      <w:widowControl w:val="0"/>
      <w:suppressAutoHyphens/>
      <w:spacing w:before="86" w:after="86"/>
      <w:ind w:left="720" w:right="86"/>
      <w:contextualSpacing/>
    </w:pPr>
    <w:rPr>
      <w:rFonts w:ascii="Times New Roman" w:eastAsia="Times New Roman" w:hAnsi="Times New Roman" w:cs="Times New Roman"/>
      <w:szCs w:val="24"/>
      <w:lang w:val="en-US" w:bidi="he-IL"/>
    </w:rPr>
  </w:style>
  <w:style w:type="table" w:styleId="TableGrid">
    <w:name w:val="Table Grid"/>
    <w:basedOn w:val="TableNormal"/>
    <w:uiPriority w:val="59"/>
    <w:rsid w:val="006901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100EAD"/>
    <w:rPr>
      <w:sz w:val="24"/>
      <w:szCs w:val="24"/>
    </w:rPr>
  </w:style>
  <w:style w:type="character" w:styleId="FootnoteReference">
    <w:name w:val="footnote reference"/>
    <w:uiPriority w:val="99"/>
    <w:semiHidden/>
    <w:unhideWhenUsed/>
    <w:rsid w:val="008141F4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8141F4"/>
    <w:rPr>
      <w:rFonts w:ascii="Calibri" w:hAnsi="Calibri"/>
      <w:b/>
      <w:bCs/>
      <w:i/>
      <w:iCs/>
      <w:sz w:val="26"/>
      <w:szCs w:val="26"/>
      <w:lang w:bidi="ar-SA"/>
    </w:rPr>
  </w:style>
  <w:style w:type="paragraph" w:customStyle="1" w:styleId="Default">
    <w:name w:val="Default"/>
    <w:rsid w:val="008141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l-SI" w:eastAsia="sl-SI" w:bidi="ar-SA"/>
    </w:rPr>
  </w:style>
  <w:style w:type="character" w:customStyle="1" w:styleId="SelPlus">
    <w:name w:val="SelPlus"/>
    <w:uiPriority w:val="1"/>
    <w:qFormat/>
    <w:rsid w:val="000673B0"/>
    <w:rPr>
      <w:rFonts w:ascii="Calibri" w:hAnsi="Calibri"/>
      <w:b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0673B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1E7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us_IRIS_New_Word_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BF26157-DCD8-40CF-83C2-FEFD3E68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Tempus_IRIS_New_Word_Template (1)</Template>
  <TotalTime>51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Korisnik</cp:lastModifiedBy>
  <cp:revision>7</cp:revision>
  <cp:lastPrinted>2016-01-21T07:14:00Z</cp:lastPrinted>
  <dcterms:created xsi:type="dcterms:W3CDTF">2021-09-09T07:54:00Z</dcterms:created>
  <dcterms:modified xsi:type="dcterms:W3CDTF">2021-09-12T11:51:00Z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TC103804601033</vt:lpwstr>
  </property>
</Properties>
</file>